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0893" w14:textId="77777777" w:rsidR="00855B38" w:rsidRDefault="00855B38" w:rsidP="00E741FB">
      <w:pPr>
        <w:jc w:val="both"/>
        <w:rPr>
          <w:rFonts w:ascii="Calibri" w:hAnsi="Calibri" w:cs="Calibri"/>
          <w:b/>
          <w:sz w:val="22"/>
          <w:szCs w:val="22"/>
        </w:rPr>
      </w:pPr>
    </w:p>
    <w:p w14:paraId="5928B671" w14:textId="4AB18069" w:rsidR="00DE2165" w:rsidRPr="00E741FB" w:rsidRDefault="00DE2165" w:rsidP="00E741FB">
      <w:pPr>
        <w:jc w:val="both"/>
        <w:rPr>
          <w:rFonts w:ascii="Calibri" w:hAnsi="Calibri" w:cs="Calibri"/>
          <w:b/>
          <w:sz w:val="22"/>
          <w:szCs w:val="22"/>
        </w:rPr>
      </w:pPr>
      <w:r w:rsidRPr="00E741FB">
        <w:rPr>
          <w:rFonts w:ascii="Calibri" w:hAnsi="Calibri" w:cs="Calibri"/>
          <w:b/>
          <w:sz w:val="22"/>
          <w:szCs w:val="22"/>
        </w:rPr>
        <w:t xml:space="preserve">Resolución </w:t>
      </w:r>
      <w:r w:rsidR="00D77C4E" w:rsidRPr="00E741FB">
        <w:rPr>
          <w:rFonts w:ascii="Calibri" w:hAnsi="Calibri" w:cs="Calibri"/>
          <w:b/>
          <w:sz w:val="22"/>
          <w:szCs w:val="22"/>
        </w:rPr>
        <w:t xml:space="preserve">de </w:t>
      </w:r>
      <w:r w:rsidR="007E1A65" w:rsidRPr="00F7434E">
        <w:rPr>
          <w:rFonts w:ascii="Calibri" w:hAnsi="Calibri" w:cs="Calibri"/>
          <w:b/>
          <w:color w:val="2E74B5" w:themeColor="accent1" w:themeShade="BF"/>
          <w:sz w:val="22"/>
          <w:szCs w:val="22"/>
        </w:rPr>
        <w:t>XX</w:t>
      </w:r>
      <w:r w:rsidR="009141FE" w:rsidRPr="00F7434E">
        <w:rPr>
          <w:rFonts w:ascii="Calibri" w:hAnsi="Calibri" w:cs="Calibri"/>
          <w:b/>
          <w:color w:val="2E74B5" w:themeColor="accent1" w:themeShade="BF"/>
          <w:sz w:val="22"/>
          <w:szCs w:val="22"/>
        </w:rPr>
        <w:t xml:space="preserve"> de </w:t>
      </w:r>
      <w:r w:rsidR="00D672ED">
        <w:rPr>
          <w:rFonts w:ascii="Calibri" w:hAnsi="Calibri" w:cs="Calibri"/>
          <w:b/>
          <w:color w:val="2E74B5" w:themeColor="accent1" w:themeShade="BF"/>
          <w:sz w:val="22"/>
          <w:szCs w:val="22"/>
        </w:rPr>
        <w:t>febrero</w:t>
      </w:r>
      <w:r w:rsidR="009141FE" w:rsidRPr="00F7434E">
        <w:rPr>
          <w:rFonts w:ascii="Calibri" w:hAnsi="Calibri" w:cs="Calibri"/>
          <w:b/>
          <w:color w:val="2E74B5" w:themeColor="accent1" w:themeShade="BF"/>
          <w:sz w:val="22"/>
          <w:szCs w:val="22"/>
        </w:rPr>
        <w:t xml:space="preserve"> de </w:t>
      </w:r>
      <w:r w:rsidR="0068745C" w:rsidRPr="00F7434E">
        <w:rPr>
          <w:rFonts w:ascii="Calibri" w:hAnsi="Calibri" w:cs="Calibri"/>
          <w:b/>
          <w:color w:val="2E74B5" w:themeColor="accent1" w:themeShade="BF"/>
          <w:sz w:val="22"/>
          <w:szCs w:val="22"/>
        </w:rPr>
        <w:t>202</w:t>
      </w:r>
      <w:r w:rsidR="007C29D9">
        <w:rPr>
          <w:rFonts w:ascii="Calibri" w:hAnsi="Calibri" w:cs="Calibri"/>
          <w:b/>
          <w:color w:val="2E74B5" w:themeColor="accent1" w:themeShade="BF"/>
          <w:sz w:val="22"/>
          <w:szCs w:val="22"/>
        </w:rPr>
        <w:t>2</w:t>
      </w:r>
      <w:r w:rsidR="00D77C4E" w:rsidRPr="00E741FB">
        <w:rPr>
          <w:rFonts w:ascii="Calibri" w:hAnsi="Calibri" w:cs="Calibri"/>
          <w:b/>
          <w:sz w:val="22"/>
          <w:szCs w:val="22"/>
        </w:rPr>
        <w:t>,</w:t>
      </w:r>
      <w:r w:rsidRPr="00E741FB">
        <w:rPr>
          <w:rFonts w:ascii="Calibri" w:hAnsi="Calibri" w:cs="Calibri"/>
          <w:b/>
          <w:sz w:val="22"/>
          <w:szCs w:val="22"/>
        </w:rPr>
        <w:t xml:space="preserve"> del Gerente de la Universidad de Extremadura, por la que se hace pública la convocatoria de cursos de formación para el Personal de Administración y Servicios de la Universidad de Extremadura.</w:t>
      </w:r>
    </w:p>
    <w:p w14:paraId="09EBFB93" w14:textId="77777777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</w:rPr>
      </w:pPr>
    </w:p>
    <w:p w14:paraId="3D1EE6CE" w14:textId="21E3C2FB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</w:rPr>
      </w:pPr>
      <w:r w:rsidRPr="00E741FB">
        <w:rPr>
          <w:rFonts w:ascii="Calibri" w:hAnsi="Calibri" w:cs="Calibri"/>
          <w:sz w:val="22"/>
          <w:szCs w:val="22"/>
        </w:rPr>
        <w:t xml:space="preserve">Al objeto de facilitar la formación y el perfeccionamiento profesional del Personal de Administración y Servicios de esta Universidad, se hace pública la convocatoria de las distintas acciones formativas que contempla el Plan de Formación del PAS para </w:t>
      </w:r>
      <w:r w:rsidR="0068745C" w:rsidRPr="00F7434E">
        <w:rPr>
          <w:rFonts w:ascii="Calibri" w:hAnsi="Calibri" w:cs="Calibri"/>
          <w:color w:val="2E74B5" w:themeColor="accent1" w:themeShade="BF"/>
          <w:sz w:val="22"/>
          <w:szCs w:val="22"/>
        </w:rPr>
        <w:t>202</w:t>
      </w:r>
      <w:r w:rsidR="0090200D">
        <w:rPr>
          <w:rFonts w:ascii="Calibri" w:hAnsi="Calibri" w:cs="Calibri"/>
          <w:color w:val="2E74B5" w:themeColor="accent1" w:themeShade="BF"/>
          <w:sz w:val="22"/>
          <w:szCs w:val="22"/>
        </w:rPr>
        <w:t>2</w:t>
      </w:r>
      <w:r w:rsidRPr="00E741FB">
        <w:rPr>
          <w:rFonts w:ascii="Calibri" w:hAnsi="Calibri" w:cs="Calibri"/>
          <w:sz w:val="22"/>
          <w:szCs w:val="22"/>
        </w:rPr>
        <w:t xml:space="preserve"> con arreglo a las siguientes</w:t>
      </w:r>
    </w:p>
    <w:p w14:paraId="658953B6" w14:textId="77777777" w:rsidR="008A5564" w:rsidRPr="00E741FB" w:rsidRDefault="008A5564" w:rsidP="00E741FB">
      <w:pPr>
        <w:jc w:val="both"/>
        <w:rPr>
          <w:rFonts w:ascii="Calibri" w:hAnsi="Calibri" w:cs="Calibri"/>
          <w:sz w:val="22"/>
          <w:szCs w:val="22"/>
        </w:rPr>
      </w:pPr>
    </w:p>
    <w:p w14:paraId="605D5604" w14:textId="77777777" w:rsidR="00DE2165" w:rsidRPr="00E741FB" w:rsidRDefault="00DE2165" w:rsidP="00E741FB">
      <w:pPr>
        <w:jc w:val="center"/>
        <w:rPr>
          <w:rFonts w:ascii="Calibri" w:hAnsi="Calibri" w:cs="Calibri"/>
          <w:b/>
          <w:sz w:val="22"/>
          <w:szCs w:val="22"/>
        </w:rPr>
      </w:pPr>
      <w:r w:rsidRPr="00E741FB">
        <w:rPr>
          <w:rFonts w:ascii="Calibri" w:hAnsi="Calibri" w:cs="Calibri"/>
          <w:b/>
          <w:sz w:val="22"/>
          <w:szCs w:val="22"/>
        </w:rPr>
        <w:t>BASES</w:t>
      </w:r>
    </w:p>
    <w:p w14:paraId="77B9BCAE" w14:textId="77777777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</w:rPr>
      </w:pPr>
    </w:p>
    <w:p w14:paraId="2648FF4B" w14:textId="2E2735D2" w:rsidR="00DE2165" w:rsidRPr="00E741FB" w:rsidRDefault="00DE2165" w:rsidP="00E741FB">
      <w:pPr>
        <w:widowControl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E741FB">
        <w:rPr>
          <w:rFonts w:ascii="Calibri" w:hAnsi="Calibri" w:cs="Calibri"/>
          <w:b/>
          <w:sz w:val="22"/>
          <w:szCs w:val="22"/>
        </w:rPr>
        <w:t>Primera.-</w:t>
      </w:r>
      <w:proofErr w:type="gramEnd"/>
      <w:r w:rsidRPr="00E741FB">
        <w:rPr>
          <w:rFonts w:ascii="Calibri" w:hAnsi="Calibri" w:cs="Calibri"/>
          <w:sz w:val="22"/>
          <w:szCs w:val="22"/>
        </w:rPr>
        <w:t xml:space="preserve"> Se convocan las acciones formativas relacionadas en el </w:t>
      </w:r>
      <w:r w:rsidRPr="00E741FB">
        <w:rPr>
          <w:rFonts w:ascii="Calibri" w:hAnsi="Calibri" w:cs="Calibri"/>
          <w:b/>
          <w:sz w:val="22"/>
          <w:szCs w:val="22"/>
        </w:rPr>
        <w:t>Anexo I</w:t>
      </w:r>
      <w:r w:rsidRPr="00E741FB">
        <w:rPr>
          <w:rFonts w:ascii="Calibri" w:hAnsi="Calibri" w:cs="Calibri"/>
          <w:sz w:val="22"/>
          <w:szCs w:val="22"/>
        </w:rPr>
        <w:t xml:space="preserve"> de esta Resolución</w:t>
      </w:r>
      <w:r w:rsidR="008C4A34">
        <w:rPr>
          <w:rFonts w:ascii="Calibri" w:hAnsi="Calibri" w:cs="Calibri"/>
          <w:sz w:val="22"/>
          <w:szCs w:val="22"/>
        </w:rPr>
        <w:t xml:space="preserve">. </w:t>
      </w:r>
      <w:r w:rsidR="00FA5429">
        <w:rPr>
          <w:rFonts w:ascii="Calibri" w:hAnsi="Calibri" w:cs="Calibri"/>
          <w:sz w:val="22"/>
          <w:szCs w:val="22"/>
          <w:lang w:val="es-ES"/>
        </w:rPr>
        <w:t>L</w:t>
      </w:r>
      <w:r w:rsidR="00EB1AC8" w:rsidRPr="00E741FB">
        <w:rPr>
          <w:rFonts w:ascii="Calibri" w:hAnsi="Calibri" w:cs="Calibri"/>
          <w:sz w:val="22"/>
          <w:szCs w:val="22"/>
          <w:lang w:val="es-ES"/>
        </w:rPr>
        <w:t xml:space="preserve">os cursos </w:t>
      </w:r>
      <w:r w:rsidR="00952555">
        <w:rPr>
          <w:rFonts w:ascii="Calibri" w:hAnsi="Calibri" w:cs="Calibri"/>
          <w:sz w:val="22"/>
          <w:szCs w:val="22"/>
          <w:lang w:val="es-ES"/>
        </w:rPr>
        <w:t xml:space="preserve">de formación </w:t>
      </w:r>
      <w:r w:rsidR="00EE41C5">
        <w:rPr>
          <w:rFonts w:ascii="Calibri" w:hAnsi="Calibri" w:cs="Calibri"/>
          <w:sz w:val="22"/>
          <w:szCs w:val="22"/>
          <w:lang w:val="es-ES"/>
        </w:rPr>
        <w:t>s</w:t>
      </w:r>
      <w:r w:rsidR="00104D3B">
        <w:rPr>
          <w:rFonts w:ascii="Calibri" w:hAnsi="Calibri" w:cs="Calibri"/>
          <w:sz w:val="22"/>
          <w:szCs w:val="22"/>
          <w:lang w:val="es-ES"/>
        </w:rPr>
        <w:t>erán</w:t>
      </w:r>
      <w:r w:rsidR="000E17B0">
        <w:rPr>
          <w:rFonts w:ascii="Calibri" w:hAnsi="Calibri" w:cs="Calibri"/>
          <w:sz w:val="22"/>
          <w:szCs w:val="22"/>
          <w:lang w:val="es-ES"/>
        </w:rPr>
        <w:t xml:space="preserve"> ofertados</w:t>
      </w:r>
      <w:r w:rsidR="00022D26">
        <w:rPr>
          <w:rFonts w:ascii="Calibri" w:hAnsi="Calibri" w:cs="Calibri"/>
          <w:sz w:val="22"/>
          <w:szCs w:val="22"/>
          <w:lang w:val="es-ES"/>
        </w:rPr>
        <w:t xml:space="preserve"> en modalidad tanto</w:t>
      </w:r>
      <w:r w:rsidR="00104D3B">
        <w:rPr>
          <w:rFonts w:ascii="Calibri" w:hAnsi="Calibri" w:cs="Calibri"/>
          <w:sz w:val="22"/>
          <w:szCs w:val="22"/>
          <w:lang w:val="es-ES"/>
        </w:rPr>
        <w:t xml:space="preserve"> presencial</w:t>
      </w:r>
      <w:r w:rsidR="00022D26">
        <w:rPr>
          <w:rFonts w:ascii="Calibri" w:hAnsi="Calibri" w:cs="Calibri"/>
          <w:sz w:val="22"/>
          <w:szCs w:val="22"/>
          <w:lang w:val="es-ES"/>
        </w:rPr>
        <w:t xml:space="preserve"> como</w:t>
      </w:r>
      <w:r w:rsidR="00104D3B">
        <w:rPr>
          <w:rFonts w:ascii="Calibri" w:hAnsi="Calibri" w:cs="Calibri"/>
          <w:sz w:val="22"/>
          <w:szCs w:val="22"/>
          <w:lang w:val="es-ES"/>
        </w:rPr>
        <w:t xml:space="preserve"> online, y </w:t>
      </w:r>
      <w:r w:rsidR="00EB1AC8" w:rsidRPr="00E741FB">
        <w:rPr>
          <w:rFonts w:ascii="Calibri" w:hAnsi="Calibri" w:cs="Calibri"/>
          <w:sz w:val="22"/>
          <w:szCs w:val="22"/>
          <w:lang w:val="es-ES"/>
        </w:rPr>
        <w:t>se impartirán</w:t>
      </w:r>
      <w:r w:rsidR="00FA5429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EB1AC8" w:rsidRPr="00E741FB">
        <w:rPr>
          <w:rFonts w:ascii="Calibri" w:hAnsi="Calibri" w:cs="Calibri"/>
          <w:sz w:val="22"/>
          <w:szCs w:val="22"/>
          <w:lang w:val="es-ES"/>
        </w:rPr>
        <w:t>en dos fases: la primera fase en los meses de ma</w:t>
      </w:r>
      <w:r w:rsidR="003C0A24" w:rsidRPr="00E741FB">
        <w:rPr>
          <w:rFonts w:ascii="Calibri" w:hAnsi="Calibri" w:cs="Calibri"/>
          <w:sz w:val="22"/>
          <w:szCs w:val="22"/>
          <w:lang w:val="es-ES"/>
        </w:rPr>
        <w:t>rzo</w:t>
      </w:r>
      <w:r w:rsidR="00EB1AC8" w:rsidRPr="00E741FB">
        <w:rPr>
          <w:rFonts w:ascii="Calibri" w:hAnsi="Calibri" w:cs="Calibri"/>
          <w:sz w:val="22"/>
          <w:szCs w:val="22"/>
          <w:lang w:val="es-ES"/>
        </w:rPr>
        <w:t xml:space="preserve">, </w:t>
      </w:r>
      <w:r w:rsidR="003C0A24" w:rsidRPr="00E741FB">
        <w:rPr>
          <w:rFonts w:ascii="Calibri" w:hAnsi="Calibri" w:cs="Calibri"/>
          <w:sz w:val="22"/>
          <w:szCs w:val="22"/>
          <w:lang w:val="es-ES"/>
        </w:rPr>
        <w:t>abril</w:t>
      </w:r>
      <w:r w:rsidR="00EB1AC8" w:rsidRPr="00E741FB">
        <w:rPr>
          <w:rFonts w:ascii="Calibri" w:hAnsi="Calibri" w:cs="Calibri"/>
          <w:sz w:val="22"/>
          <w:szCs w:val="22"/>
          <w:lang w:val="es-ES"/>
        </w:rPr>
        <w:t xml:space="preserve"> y </w:t>
      </w:r>
      <w:r w:rsidR="003C0A24" w:rsidRPr="00E741FB">
        <w:rPr>
          <w:rFonts w:ascii="Calibri" w:hAnsi="Calibri" w:cs="Calibri"/>
          <w:sz w:val="22"/>
          <w:szCs w:val="22"/>
          <w:lang w:val="es-ES"/>
        </w:rPr>
        <w:t>mayo</w:t>
      </w:r>
      <w:r w:rsidR="001D5426">
        <w:rPr>
          <w:rFonts w:ascii="Calibri" w:hAnsi="Calibri" w:cs="Calibri"/>
          <w:sz w:val="22"/>
          <w:szCs w:val="22"/>
          <w:lang w:val="es-ES"/>
        </w:rPr>
        <w:t>;</w:t>
      </w:r>
      <w:r w:rsidR="00EB1AC8" w:rsidRPr="00E741FB">
        <w:rPr>
          <w:rFonts w:ascii="Calibri" w:hAnsi="Calibri" w:cs="Calibri"/>
          <w:sz w:val="22"/>
          <w:szCs w:val="22"/>
          <w:lang w:val="es-ES"/>
        </w:rPr>
        <w:t xml:space="preserve"> y la segunda fase en </w:t>
      </w:r>
      <w:r w:rsidR="00570D92">
        <w:rPr>
          <w:rFonts w:ascii="Calibri" w:hAnsi="Calibri" w:cs="Calibri"/>
          <w:sz w:val="22"/>
          <w:szCs w:val="22"/>
          <w:lang w:val="es-ES"/>
        </w:rPr>
        <w:t>septiembre</w:t>
      </w:r>
      <w:r w:rsidR="0028229B">
        <w:rPr>
          <w:rFonts w:ascii="Calibri" w:hAnsi="Calibri" w:cs="Calibri"/>
          <w:sz w:val="22"/>
          <w:szCs w:val="22"/>
          <w:lang w:val="es-ES"/>
        </w:rPr>
        <w:t>, octubre</w:t>
      </w:r>
      <w:r w:rsidR="00EB1AC8" w:rsidRPr="00E741FB">
        <w:rPr>
          <w:rFonts w:ascii="Calibri" w:hAnsi="Calibri" w:cs="Calibri"/>
          <w:sz w:val="22"/>
          <w:szCs w:val="22"/>
          <w:lang w:val="es-ES"/>
        </w:rPr>
        <w:t xml:space="preserve"> y </w:t>
      </w:r>
      <w:r w:rsidR="003C0A24" w:rsidRPr="00E741FB">
        <w:rPr>
          <w:rFonts w:ascii="Calibri" w:hAnsi="Calibri" w:cs="Calibri"/>
          <w:sz w:val="22"/>
          <w:szCs w:val="22"/>
          <w:lang w:val="es-ES"/>
        </w:rPr>
        <w:t>noviembre</w:t>
      </w:r>
      <w:r w:rsidR="00EB1AC8" w:rsidRPr="00E741FB">
        <w:rPr>
          <w:rFonts w:ascii="Calibri" w:hAnsi="Calibri" w:cs="Calibri"/>
          <w:sz w:val="22"/>
          <w:szCs w:val="22"/>
          <w:lang w:val="es-ES"/>
        </w:rPr>
        <w:t xml:space="preserve"> de </w:t>
      </w:r>
      <w:r w:rsidR="00EB1AC8" w:rsidRPr="00F7434E">
        <w:rPr>
          <w:rFonts w:ascii="Calibri" w:hAnsi="Calibri" w:cs="Calibri"/>
          <w:color w:val="2E74B5" w:themeColor="accent1" w:themeShade="BF"/>
          <w:sz w:val="22"/>
          <w:szCs w:val="22"/>
          <w:lang w:val="es-ES"/>
        </w:rPr>
        <w:t>202</w:t>
      </w:r>
      <w:r w:rsidR="008C4A34">
        <w:rPr>
          <w:rFonts w:ascii="Calibri" w:hAnsi="Calibri" w:cs="Calibri"/>
          <w:color w:val="2E74B5" w:themeColor="accent1" w:themeShade="BF"/>
          <w:sz w:val="22"/>
          <w:szCs w:val="22"/>
          <w:lang w:val="es-ES"/>
        </w:rPr>
        <w:t>2</w:t>
      </w:r>
      <w:r w:rsidRPr="00E741FB">
        <w:rPr>
          <w:rFonts w:ascii="Calibri" w:hAnsi="Calibri" w:cs="Calibri"/>
          <w:sz w:val="22"/>
          <w:szCs w:val="22"/>
        </w:rPr>
        <w:t>, salvo que razones organizativas lo impidan, y cuyas ediciones podrán continuar o iniciarse en años sucesivos</w:t>
      </w:r>
      <w:r w:rsidR="00220D3A" w:rsidRPr="00E741FB">
        <w:rPr>
          <w:rFonts w:ascii="Calibri" w:hAnsi="Calibri" w:cs="Calibri"/>
          <w:sz w:val="22"/>
          <w:szCs w:val="22"/>
        </w:rPr>
        <w:t>,</w:t>
      </w:r>
      <w:r w:rsidRPr="00E741FB">
        <w:rPr>
          <w:rFonts w:ascii="Calibri" w:hAnsi="Calibri" w:cs="Calibri"/>
          <w:sz w:val="22"/>
          <w:szCs w:val="22"/>
        </w:rPr>
        <w:t xml:space="preserve"> según se determine.</w:t>
      </w:r>
    </w:p>
    <w:p w14:paraId="5976A8A0" w14:textId="77777777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</w:rPr>
      </w:pPr>
    </w:p>
    <w:p w14:paraId="382FEDCC" w14:textId="77777777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E741FB">
        <w:rPr>
          <w:rFonts w:ascii="Calibri" w:hAnsi="Calibri" w:cs="Calibri"/>
          <w:b/>
          <w:sz w:val="22"/>
          <w:szCs w:val="22"/>
        </w:rPr>
        <w:t>Segunda.-</w:t>
      </w:r>
      <w:proofErr w:type="gramEnd"/>
      <w:r w:rsidRPr="00E741FB">
        <w:rPr>
          <w:rFonts w:ascii="Calibri" w:hAnsi="Calibri" w:cs="Calibri"/>
          <w:sz w:val="22"/>
          <w:szCs w:val="22"/>
        </w:rPr>
        <w:t xml:space="preserve"> Podrán participar en los cursos convocados todos los miembros del Personal de Administración y Servicios de la Universidad de Extremadura que se encuentren en servicio activo o situación asimilada, a efectos formativos, en el momento de publicarse la convocatoria y reúnan el perfil profesional que se determine y superen, en su caso, los criterios de selección establecidos.</w:t>
      </w:r>
    </w:p>
    <w:p w14:paraId="21C285A0" w14:textId="77777777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</w:rPr>
      </w:pPr>
    </w:p>
    <w:p w14:paraId="3E8D0EC9" w14:textId="43FCFC7F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E741FB">
        <w:rPr>
          <w:rFonts w:ascii="Calibri" w:hAnsi="Calibri" w:cs="Calibri"/>
          <w:b/>
          <w:sz w:val="22"/>
          <w:szCs w:val="22"/>
        </w:rPr>
        <w:t>Tercera.-</w:t>
      </w:r>
      <w:proofErr w:type="gramEnd"/>
      <w:r w:rsidRPr="00E741FB">
        <w:rPr>
          <w:rFonts w:ascii="Calibri" w:hAnsi="Calibri" w:cs="Calibri"/>
          <w:sz w:val="22"/>
          <w:szCs w:val="22"/>
        </w:rPr>
        <w:t xml:space="preserve"> </w:t>
      </w:r>
      <w:r w:rsidR="00D216D4">
        <w:rPr>
          <w:rFonts w:ascii="Calibri" w:hAnsi="Calibri" w:cs="Calibri"/>
          <w:sz w:val="22"/>
          <w:szCs w:val="22"/>
        </w:rPr>
        <w:t>Todas l</w:t>
      </w:r>
      <w:r w:rsidRPr="00E741FB">
        <w:rPr>
          <w:rFonts w:ascii="Calibri" w:hAnsi="Calibri" w:cs="Calibri"/>
          <w:sz w:val="22"/>
          <w:szCs w:val="22"/>
        </w:rPr>
        <w:t xml:space="preserve">as solicitudes para poder participar en las acciones formativas se realizarán </w:t>
      </w:r>
      <w:r w:rsidR="00D672ED">
        <w:rPr>
          <w:rFonts w:ascii="Calibri" w:hAnsi="Calibri" w:cs="Calibri"/>
          <w:sz w:val="22"/>
          <w:szCs w:val="22"/>
        </w:rPr>
        <w:t>a través d</w:t>
      </w:r>
      <w:r w:rsidRPr="00E741FB">
        <w:rPr>
          <w:rFonts w:ascii="Calibri" w:hAnsi="Calibri" w:cs="Calibri"/>
          <w:sz w:val="22"/>
          <w:szCs w:val="22"/>
        </w:rPr>
        <w:t>el Portal de Servicios de</w:t>
      </w:r>
      <w:r w:rsidR="003C4E71" w:rsidRPr="00E741FB">
        <w:rPr>
          <w:rFonts w:ascii="Calibri" w:hAnsi="Calibri" w:cs="Calibri"/>
          <w:sz w:val="22"/>
          <w:szCs w:val="22"/>
        </w:rPr>
        <w:t xml:space="preserve"> la Universidad de Extremadura;</w:t>
      </w:r>
      <w:r w:rsidR="00D95B04" w:rsidRPr="00E741FB">
        <w:rPr>
          <w:rFonts w:ascii="Calibri" w:hAnsi="Calibri" w:cs="Calibri"/>
          <w:sz w:val="22"/>
          <w:szCs w:val="22"/>
        </w:rPr>
        <w:t xml:space="preserve"> </w:t>
      </w:r>
      <w:r w:rsidR="003C4E71" w:rsidRPr="00E741FB">
        <w:rPr>
          <w:rFonts w:ascii="Calibri" w:hAnsi="Calibri" w:cs="Calibri"/>
          <w:sz w:val="22"/>
          <w:szCs w:val="22"/>
        </w:rPr>
        <w:t xml:space="preserve">sólo aparecerán </w:t>
      </w:r>
      <w:r w:rsidR="00D216D4">
        <w:rPr>
          <w:rFonts w:ascii="Calibri" w:hAnsi="Calibri" w:cs="Calibri"/>
          <w:sz w:val="22"/>
          <w:szCs w:val="22"/>
        </w:rPr>
        <w:t xml:space="preserve">en el Portal </w:t>
      </w:r>
      <w:r w:rsidR="003C4E71" w:rsidRPr="00E741FB">
        <w:rPr>
          <w:rFonts w:ascii="Calibri" w:hAnsi="Calibri" w:cs="Calibri"/>
          <w:sz w:val="22"/>
          <w:szCs w:val="22"/>
        </w:rPr>
        <w:t>aque</w:t>
      </w:r>
      <w:r w:rsidRPr="00E741FB">
        <w:rPr>
          <w:rFonts w:ascii="Calibri" w:hAnsi="Calibri" w:cs="Calibri"/>
          <w:sz w:val="22"/>
          <w:szCs w:val="22"/>
        </w:rPr>
        <w:t xml:space="preserve">llos cursos </w:t>
      </w:r>
      <w:r w:rsidR="000F35AC">
        <w:rPr>
          <w:rFonts w:ascii="Calibri" w:hAnsi="Calibri" w:cs="Calibri"/>
          <w:sz w:val="22"/>
          <w:szCs w:val="22"/>
        </w:rPr>
        <w:t xml:space="preserve">ofertados </w:t>
      </w:r>
      <w:r w:rsidRPr="00E741FB">
        <w:rPr>
          <w:rFonts w:ascii="Calibri" w:hAnsi="Calibri" w:cs="Calibri"/>
          <w:sz w:val="22"/>
          <w:szCs w:val="22"/>
        </w:rPr>
        <w:t xml:space="preserve">que </w:t>
      </w:r>
      <w:r w:rsidR="000F35AC">
        <w:rPr>
          <w:rFonts w:ascii="Calibri" w:hAnsi="Calibri" w:cs="Calibri"/>
          <w:sz w:val="22"/>
          <w:szCs w:val="22"/>
        </w:rPr>
        <w:t>requieran</w:t>
      </w:r>
      <w:r w:rsidR="00B87936">
        <w:rPr>
          <w:rFonts w:ascii="Calibri" w:hAnsi="Calibri" w:cs="Calibri"/>
          <w:sz w:val="22"/>
          <w:szCs w:val="22"/>
        </w:rPr>
        <w:t xml:space="preserve"> ser solicitados por</w:t>
      </w:r>
      <w:r w:rsidR="00E879C9" w:rsidRPr="00E741FB">
        <w:rPr>
          <w:rFonts w:ascii="Calibri" w:hAnsi="Calibri" w:cs="Calibri"/>
          <w:sz w:val="22"/>
          <w:szCs w:val="22"/>
        </w:rPr>
        <w:t xml:space="preserve"> los interesados</w:t>
      </w:r>
      <w:r w:rsidR="005455B0">
        <w:rPr>
          <w:rFonts w:ascii="Calibri" w:hAnsi="Calibri" w:cs="Calibri"/>
          <w:sz w:val="22"/>
          <w:szCs w:val="22"/>
        </w:rPr>
        <w:t xml:space="preserve">; </w:t>
      </w:r>
      <w:r w:rsidR="00C36918">
        <w:rPr>
          <w:rFonts w:ascii="Calibri" w:hAnsi="Calibri" w:cs="Calibri"/>
          <w:sz w:val="22"/>
          <w:szCs w:val="22"/>
        </w:rPr>
        <w:t xml:space="preserve">no aquellos cursos que se convoquen de oficio por parte </w:t>
      </w:r>
      <w:r w:rsidR="00D50E49">
        <w:rPr>
          <w:rFonts w:ascii="Calibri" w:hAnsi="Calibri" w:cs="Calibri"/>
          <w:sz w:val="22"/>
          <w:szCs w:val="22"/>
        </w:rPr>
        <w:t>de la Sección de Formación del PAS.</w:t>
      </w:r>
    </w:p>
    <w:p w14:paraId="447D0FAF" w14:textId="77777777" w:rsidR="00A55ED0" w:rsidRPr="00E741FB" w:rsidRDefault="00A55ED0" w:rsidP="00E741FB">
      <w:pPr>
        <w:jc w:val="both"/>
        <w:rPr>
          <w:rFonts w:ascii="Calibri" w:hAnsi="Calibri" w:cs="Calibri"/>
          <w:sz w:val="22"/>
          <w:szCs w:val="22"/>
        </w:rPr>
      </w:pPr>
    </w:p>
    <w:p w14:paraId="13D5D821" w14:textId="131766DD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</w:rPr>
      </w:pPr>
      <w:r w:rsidRPr="00E741FB">
        <w:rPr>
          <w:rFonts w:ascii="Calibri" w:hAnsi="Calibri" w:cs="Calibri"/>
          <w:sz w:val="22"/>
          <w:szCs w:val="22"/>
        </w:rPr>
        <w:t xml:space="preserve">El plazo para realizar las solicitudes de cursos </w:t>
      </w:r>
      <w:r w:rsidR="000A5451" w:rsidRPr="00E741FB">
        <w:rPr>
          <w:rFonts w:ascii="Calibri" w:hAnsi="Calibri" w:cs="Calibri"/>
          <w:sz w:val="22"/>
          <w:szCs w:val="22"/>
        </w:rPr>
        <w:t xml:space="preserve">de la primera fase </w:t>
      </w:r>
      <w:r w:rsidRPr="00E741FB">
        <w:rPr>
          <w:rFonts w:ascii="Calibri" w:hAnsi="Calibri" w:cs="Calibri"/>
          <w:sz w:val="22"/>
          <w:szCs w:val="22"/>
        </w:rPr>
        <w:t xml:space="preserve">del Plan de Formación de </w:t>
      </w:r>
      <w:r w:rsidR="0068745C" w:rsidRPr="00E741FB">
        <w:rPr>
          <w:rFonts w:ascii="Calibri" w:hAnsi="Calibri" w:cs="Calibri"/>
          <w:sz w:val="22"/>
          <w:szCs w:val="22"/>
        </w:rPr>
        <w:t>202</w:t>
      </w:r>
      <w:r w:rsidR="00FA5429">
        <w:rPr>
          <w:rFonts w:ascii="Calibri" w:hAnsi="Calibri" w:cs="Calibri"/>
          <w:sz w:val="22"/>
          <w:szCs w:val="22"/>
        </w:rPr>
        <w:t>1</w:t>
      </w:r>
      <w:r w:rsidRPr="00E741FB">
        <w:rPr>
          <w:rFonts w:ascii="Calibri" w:hAnsi="Calibri" w:cs="Calibri"/>
          <w:sz w:val="22"/>
          <w:szCs w:val="22"/>
        </w:rPr>
        <w:t xml:space="preserve"> será del </w:t>
      </w:r>
      <w:r w:rsidR="00C70523">
        <w:rPr>
          <w:rFonts w:ascii="Calibri" w:hAnsi="Calibri" w:cs="Calibri"/>
          <w:sz w:val="22"/>
          <w:szCs w:val="22"/>
        </w:rPr>
        <w:t xml:space="preserve">14 </w:t>
      </w:r>
      <w:r w:rsidR="00706FB9">
        <w:rPr>
          <w:rFonts w:ascii="Calibri" w:hAnsi="Calibri" w:cs="Calibri"/>
          <w:sz w:val="22"/>
          <w:szCs w:val="22"/>
        </w:rPr>
        <w:t>a</w:t>
      </w:r>
      <w:r w:rsidR="00C70523">
        <w:rPr>
          <w:rFonts w:ascii="Calibri" w:hAnsi="Calibri" w:cs="Calibri"/>
          <w:sz w:val="22"/>
          <w:szCs w:val="22"/>
        </w:rPr>
        <w:t>l 28 de febrero</w:t>
      </w:r>
      <w:r w:rsidR="00706FB9">
        <w:rPr>
          <w:rFonts w:ascii="Calibri" w:hAnsi="Calibri" w:cs="Calibri"/>
          <w:sz w:val="22"/>
          <w:szCs w:val="22"/>
        </w:rPr>
        <w:t>;</w:t>
      </w:r>
      <w:r w:rsidR="000A5451" w:rsidRPr="00E741FB">
        <w:rPr>
          <w:rFonts w:ascii="Calibri" w:hAnsi="Calibri" w:cs="Calibri"/>
          <w:sz w:val="22"/>
          <w:szCs w:val="22"/>
        </w:rPr>
        <w:t xml:space="preserve"> </w:t>
      </w:r>
      <w:r w:rsidR="00AD4696" w:rsidRPr="00E741FB">
        <w:rPr>
          <w:rFonts w:ascii="Calibri" w:hAnsi="Calibri" w:cs="Calibri"/>
          <w:sz w:val="22"/>
          <w:szCs w:val="22"/>
        </w:rPr>
        <w:t xml:space="preserve">y </w:t>
      </w:r>
      <w:r w:rsidR="000A5451" w:rsidRPr="00E741FB">
        <w:rPr>
          <w:rFonts w:ascii="Calibri" w:hAnsi="Calibri" w:cs="Calibri"/>
          <w:sz w:val="22"/>
          <w:szCs w:val="22"/>
        </w:rPr>
        <w:t>el plazo para solicitar los cursos de la segunda fase será del</w:t>
      </w:r>
      <w:r w:rsidR="00FA5429">
        <w:rPr>
          <w:rFonts w:ascii="Calibri" w:hAnsi="Calibri" w:cs="Calibri"/>
          <w:sz w:val="22"/>
          <w:szCs w:val="22"/>
        </w:rPr>
        <w:t xml:space="preserve">                        </w:t>
      </w:r>
      <w:r w:rsidR="00757826">
        <w:rPr>
          <w:rFonts w:ascii="Calibri" w:hAnsi="Calibri" w:cs="Calibri"/>
          <w:sz w:val="22"/>
          <w:szCs w:val="22"/>
        </w:rPr>
        <w:t xml:space="preserve">                   </w:t>
      </w:r>
      <w:r w:rsidR="00216EBA">
        <w:rPr>
          <w:rFonts w:ascii="Calibri" w:hAnsi="Calibri" w:cs="Calibri"/>
          <w:sz w:val="22"/>
          <w:szCs w:val="22"/>
        </w:rPr>
        <w:t>1</w:t>
      </w:r>
      <w:r w:rsidR="00AC44F8">
        <w:rPr>
          <w:rFonts w:ascii="Calibri" w:hAnsi="Calibri" w:cs="Calibri"/>
          <w:sz w:val="22"/>
          <w:szCs w:val="22"/>
        </w:rPr>
        <w:t xml:space="preserve"> </w:t>
      </w:r>
      <w:r w:rsidR="00F6654F">
        <w:rPr>
          <w:rFonts w:ascii="Calibri" w:hAnsi="Calibri" w:cs="Calibri"/>
          <w:sz w:val="22"/>
          <w:szCs w:val="22"/>
        </w:rPr>
        <w:t>al 1</w:t>
      </w:r>
      <w:r w:rsidR="00216EBA">
        <w:rPr>
          <w:rFonts w:ascii="Calibri" w:hAnsi="Calibri" w:cs="Calibri"/>
          <w:sz w:val="22"/>
          <w:szCs w:val="22"/>
        </w:rPr>
        <w:t>5</w:t>
      </w:r>
      <w:r w:rsidR="00F6654F">
        <w:rPr>
          <w:rFonts w:ascii="Calibri" w:hAnsi="Calibri" w:cs="Calibri"/>
          <w:sz w:val="22"/>
          <w:szCs w:val="22"/>
        </w:rPr>
        <w:t xml:space="preserve"> de septiembre</w:t>
      </w:r>
      <w:r w:rsidR="003C4E71" w:rsidRPr="00E741FB">
        <w:rPr>
          <w:rFonts w:ascii="Calibri" w:hAnsi="Calibri" w:cs="Calibri"/>
          <w:b/>
          <w:sz w:val="22"/>
          <w:szCs w:val="22"/>
        </w:rPr>
        <w:t xml:space="preserve">. </w:t>
      </w:r>
      <w:r w:rsidR="003C4E71" w:rsidRPr="00E741FB">
        <w:rPr>
          <w:rFonts w:ascii="Calibri" w:hAnsi="Calibri" w:cs="Calibri"/>
          <w:sz w:val="22"/>
          <w:szCs w:val="22"/>
        </w:rPr>
        <w:t>No</w:t>
      </w:r>
      <w:r w:rsidR="00AD4696" w:rsidRPr="00E741FB">
        <w:rPr>
          <w:rFonts w:ascii="Calibri" w:hAnsi="Calibri" w:cs="Calibri"/>
          <w:sz w:val="22"/>
          <w:szCs w:val="22"/>
        </w:rPr>
        <w:t xml:space="preserve"> se computarán aquellas</w:t>
      </w:r>
      <w:r w:rsidRPr="00E741FB">
        <w:rPr>
          <w:rFonts w:ascii="Calibri" w:hAnsi="Calibri" w:cs="Calibri"/>
          <w:sz w:val="22"/>
          <w:szCs w:val="22"/>
        </w:rPr>
        <w:t xml:space="preserve"> solicitu</w:t>
      </w:r>
      <w:r w:rsidR="00612E3C" w:rsidRPr="00E741FB">
        <w:rPr>
          <w:rFonts w:ascii="Calibri" w:hAnsi="Calibri" w:cs="Calibri"/>
          <w:sz w:val="22"/>
          <w:szCs w:val="22"/>
        </w:rPr>
        <w:t>des presentadas fuera de plazo.</w:t>
      </w:r>
    </w:p>
    <w:p w14:paraId="0DD1355F" w14:textId="77777777" w:rsidR="00612E3C" w:rsidRPr="00E741FB" w:rsidRDefault="00612E3C" w:rsidP="00E741FB">
      <w:pPr>
        <w:jc w:val="both"/>
        <w:rPr>
          <w:rFonts w:ascii="Calibri" w:hAnsi="Calibri" w:cs="Calibri"/>
          <w:sz w:val="22"/>
          <w:szCs w:val="22"/>
        </w:rPr>
      </w:pPr>
    </w:p>
    <w:p w14:paraId="43F9B127" w14:textId="07918456" w:rsidR="00924708" w:rsidRPr="00E741FB" w:rsidRDefault="00A55ED0" w:rsidP="00E741FB">
      <w:pPr>
        <w:widowControl/>
        <w:adjustRightInd w:val="0"/>
        <w:jc w:val="both"/>
        <w:rPr>
          <w:rFonts w:ascii="Calibri" w:hAnsi="Calibri" w:cs="Calibri"/>
          <w:sz w:val="22"/>
          <w:szCs w:val="22"/>
          <w:lang w:val="es-ES"/>
        </w:rPr>
      </w:pPr>
      <w:r w:rsidRPr="00E741FB">
        <w:rPr>
          <w:rFonts w:ascii="Calibri" w:hAnsi="Calibri" w:cs="Calibri"/>
          <w:sz w:val="22"/>
          <w:szCs w:val="22"/>
          <w:lang w:val="es-ES"/>
        </w:rPr>
        <w:t>Una vez solicitados los cursos</w:t>
      </w:r>
      <w:r w:rsidRPr="00094EB9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D216D4" w:rsidRPr="00094EB9">
        <w:rPr>
          <w:rFonts w:ascii="Calibri" w:hAnsi="Calibri" w:cs="Calibri"/>
          <w:sz w:val="22"/>
          <w:szCs w:val="22"/>
          <w:lang w:val="es-ES"/>
        </w:rPr>
        <w:t>de formación</w:t>
      </w:r>
      <w:r w:rsidRPr="00E741FB">
        <w:rPr>
          <w:rFonts w:ascii="Calibri" w:hAnsi="Calibri" w:cs="Calibri"/>
          <w:sz w:val="22"/>
          <w:szCs w:val="22"/>
          <w:lang w:val="es-ES"/>
        </w:rPr>
        <w:t xml:space="preserve">, el interesado recibirá en su correo electrónico la confirmación de que </w:t>
      </w:r>
      <w:r w:rsidR="00D216D4">
        <w:rPr>
          <w:rFonts w:ascii="Calibri" w:hAnsi="Calibri" w:cs="Calibri"/>
          <w:sz w:val="22"/>
          <w:szCs w:val="22"/>
          <w:lang w:val="es-ES"/>
        </w:rPr>
        <w:t>su</w:t>
      </w:r>
      <w:r w:rsidRPr="00E741FB">
        <w:rPr>
          <w:rFonts w:ascii="Calibri" w:hAnsi="Calibri" w:cs="Calibri"/>
          <w:sz w:val="22"/>
          <w:szCs w:val="22"/>
          <w:lang w:val="es-ES"/>
        </w:rPr>
        <w:t xml:space="preserve"> solicitud ha sido bien realizada; posteriormente, y antes del comienzo de cada curso, se publicará</w:t>
      </w:r>
      <w:r w:rsidR="00924708">
        <w:rPr>
          <w:rFonts w:ascii="Calibri" w:hAnsi="Calibri" w:cs="Calibri"/>
          <w:sz w:val="22"/>
          <w:szCs w:val="22"/>
          <w:lang w:val="es-ES"/>
        </w:rPr>
        <w:t>n</w:t>
      </w:r>
      <w:r w:rsidRPr="00E741FB">
        <w:rPr>
          <w:rFonts w:ascii="Calibri" w:hAnsi="Calibri" w:cs="Calibri"/>
          <w:sz w:val="22"/>
          <w:szCs w:val="22"/>
          <w:lang w:val="es-ES"/>
        </w:rPr>
        <w:t xml:space="preserve"> en la página Web de la Sección de Formación del PAS </w:t>
      </w:r>
      <w:r w:rsidR="00924708">
        <w:rPr>
          <w:rFonts w:ascii="Calibri" w:hAnsi="Calibri" w:cs="Calibri"/>
          <w:sz w:val="22"/>
          <w:szCs w:val="22"/>
          <w:lang w:val="es-ES"/>
        </w:rPr>
        <w:t>los</w:t>
      </w:r>
      <w:r w:rsidRPr="00E741FB">
        <w:rPr>
          <w:rFonts w:ascii="Calibri" w:hAnsi="Calibri" w:cs="Calibri"/>
          <w:sz w:val="22"/>
          <w:szCs w:val="22"/>
          <w:lang w:val="es-ES"/>
        </w:rPr>
        <w:t xml:space="preserve"> listado</w:t>
      </w:r>
      <w:r w:rsidR="00924708">
        <w:rPr>
          <w:rFonts w:ascii="Calibri" w:hAnsi="Calibri" w:cs="Calibri"/>
          <w:sz w:val="22"/>
          <w:szCs w:val="22"/>
          <w:lang w:val="es-ES"/>
        </w:rPr>
        <w:t>s</w:t>
      </w:r>
      <w:r w:rsidRPr="00E741FB">
        <w:rPr>
          <w:rFonts w:ascii="Calibri" w:hAnsi="Calibri" w:cs="Calibri"/>
          <w:sz w:val="22"/>
          <w:szCs w:val="22"/>
          <w:lang w:val="es-ES"/>
        </w:rPr>
        <w:t xml:space="preserve"> de solicitantes </w:t>
      </w:r>
      <w:r w:rsidR="00924708">
        <w:rPr>
          <w:rFonts w:ascii="Calibri" w:hAnsi="Calibri" w:cs="Calibri"/>
          <w:sz w:val="22"/>
          <w:szCs w:val="22"/>
          <w:lang w:val="es-ES"/>
        </w:rPr>
        <w:t>y admitidos de</w:t>
      </w:r>
      <w:r w:rsidRPr="00E741FB">
        <w:rPr>
          <w:rFonts w:ascii="Calibri" w:hAnsi="Calibri" w:cs="Calibri"/>
          <w:sz w:val="22"/>
          <w:szCs w:val="22"/>
          <w:lang w:val="es-ES"/>
        </w:rPr>
        <w:t xml:space="preserve"> cada uno</w:t>
      </w:r>
      <w:r w:rsidR="00924708">
        <w:rPr>
          <w:rFonts w:ascii="Calibri" w:hAnsi="Calibri" w:cs="Calibri"/>
          <w:sz w:val="22"/>
          <w:szCs w:val="22"/>
          <w:lang w:val="es-ES"/>
        </w:rPr>
        <w:t xml:space="preserve"> de los cursos ofertados</w:t>
      </w:r>
      <w:r w:rsidR="00612E3C" w:rsidRPr="00E741FB">
        <w:rPr>
          <w:rFonts w:ascii="Calibri" w:hAnsi="Calibri" w:cs="Calibri"/>
          <w:sz w:val="22"/>
          <w:szCs w:val="22"/>
          <w:lang w:val="es-ES"/>
        </w:rPr>
        <w:t>. Q</w:t>
      </w:r>
      <w:r w:rsidRPr="00E741FB">
        <w:rPr>
          <w:rFonts w:ascii="Calibri" w:hAnsi="Calibri" w:cs="Calibri"/>
          <w:sz w:val="22"/>
          <w:szCs w:val="22"/>
          <w:lang w:val="es-ES"/>
        </w:rPr>
        <w:t>uienes reúnan los requisitos establecidos en la ficha de actividad formativa y superen los criterios de selección</w:t>
      </w:r>
      <w:r w:rsidR="00612E3C" w:rsidRPr="00E741FB">
        <w:rPr>
          <w:rFonts w:ascii="Calibri" w:hAnsi="Calibri" w:cs="Calibri"/>
          <w:sz w:val="22"/>
          <w:szCs w:val="22"/>
          <w:lang w:val="es-ES"/>
        </w:rPr>
        <w:t xml:space="preserve">, recibirán un correo electrónico </w:t>
      </w:r>
      <w:r w:rsidRPr="00E741FB">
        <w:rPr>
          <w:rFonts w:ascii="Calibri" w:hAnsi="Calibri" w:cs="Calibri"/>
          <w:sz w:val="22"/>
          <w:szCs w:val="22"/>
          <w:lang w:val="es-ES"/>
        </w:rPr>
        <w:t xml:space="preserve">desde la Sección de Formación del PAS para comunicarles </w:t>
      </w:r>
      <w:r w:rsidR="00612E3C" w:rsidRPr="00E741FB">
        <w:rPr>
          <w:rFonts w:ascii="Calibri" w:hAnsi="Calibri" w:cs="Calibri"/>
          <w:sz w:val="22"/>
          <w:szCs w:val="22"/>
          <w:lang w:val="es-ES"/>
        </w:rPr>
        <w:t>su</w:t>
      </w:r>
      <w:r w:rsidRPr="00E741FB">
        <w:rPr>
          <w:rFonts w:ascii="Calibri" w:hAnsi="Calibri" w:cs="Calibri"/>
          <w:sz w:val="22"/>
          <w:szCs w:val="22"/>
          <w:lang w:val="es-ES"/>
        </w:rPr>
        <w:t xml:space="preserve"> admisión</w:t>
      </w:r>
      <w:r w:rsidR="00612E3C" w:rsidRPr="00E741FB">
        <w:rPr>
          <w:rFonts w:ascii="Calibri" w:hAnsi="Calibri" w:cs="Calibri"/>
          <w:sz w:val="22"/>
          <w:szCs w:val="22"/>
          <w:lang w:val="es-ES"/>
        </w:rPr>
        <w:t xml:space="preserve"> en el curso</w:t>
      </w:r>
      <w:r w:rsidR="00924708">
        <w:rPr>
          <w:rFonts w:ascii="Calibri" w:hAnsi="Calibri" w:cs="Calibri"/>
          <w:sz w:val="22"/>
          <w:szCs w:val="22"/>
          <w:lang w:val="es-ES"/>
        </w:rPr>
        <w:t xml:space="preserve"> solicitado.</w:t>
      </w:r>
    </w:p>
    <w:p w14:paraId="4A4C7D6E" w14:textId="77777777" w:rsidR="00E741FB" w:rsidRDefault="00E741FB" w:rsidP="00E741FB">
      <w:pPr>
        <w:jc w:val="both"/>
        <w:rPr>
          <w:rFonts w:ascii="Calibri" w:hAnsi="Calibri" w:cs="Calibri"/>
          <w:b/>
          <w:sz w:val="22"/>
          <w:szCs w:val="22"/>
        </w:rPr>
      </w:pPr>
    </w:p>
    <w:p w14:paraId="7374B79B" w14:textId="77777777" w:rsidR="00DE2165" w:rsidRPr="00E741FB" w:rsidRDefault="00DE2165" w:rsidP="00E741FB">
      <w:pPr>
        <w:jc w:val="both"/>
        <w:rPr>
          <w:rFonts w:ascii="Calibri" w:hAnsi="Calibri" w:cs="Calibri"/>
          <w:b/>
          <w:sz w:val="22"/>
          <w:szCs w:val="22"/>
          <w:lang w:val="es-MX"/>
        </w:rPr>
      </w:pPr>
      <w:proofErr w:type="gramStart"/>
      <w:r w:rsidRPr="00E741FB">
        <w:rPr>
          <w:rFonts w:ascii="Calibri" w:hAnsi="Calibri" w:cs="Calibri"/>
          <w:b/>
          <w:sz w:val="22"/>
          <w:szCs w:val="22"/>
        </w:rPr>
        <w:t>Cuarta.-</w:t>
      </w:r>
      <w:proofErr w:type="gramEnd"/>
      <w:r w:rsidRPr="00E741FB">
        <w:rPr>
          <w:rFonts w:ascii="Calibri" w:hAnsi="Calibri" w:cs="Calibri"/>
          <w:sz w:val="22"/>
          <w:szCs w:val="22"/>
        </w:rPr>
        <w:t xml:space="preserve"> </w:t>
      </w:r>
      <w:r w:rsidRPr="00E741FB">
        <w:rPr>
          <w:rFonts w:ascii="Calibri" w:hAnsi="Calibri" w:cs="Calibri"/>
          <w:sz w:val="22"/>
          <w:szCs w:val="22"/>
          <w:lang w:val="es-MX"/>
        </w:rPr>
        <w:t>Todas las acciones formativas constan de un perfil de destinatario que es el criterio previo de selección.</w:t>
      </w:r>
      <w:r w:rsidR="00536EBE"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proofErr w:type="gramStart"/>
      <w:r w:rsidR="00C01626" w:rsidRPr="00E741FB">
        <w:rPr>
          <w:rFonts w:ascii="Calibri" w:hAnsi="Calibri" w:cs="Calibri"/>
          <w:sz w:val="22"/>
          <w:szCs w:val="22"/>
          <w:lang w:val="es-MX"/>
        </w:rPr>
        <w:t>Adem</w:t>
      </w:r>
      <w:r w:rsidR="00536EBE" w:rsidRPr="00E741FB">
        <w:rPr>
          <w:rFonts w:ascii="Calibri" w:hAnsi="Calibri" w:cs="Calibri"/>
          <w:sz w:val="22"/>
          <w:szCs w:val="22"/>
          <w:lang w:val="es-MX"/>
        </w:rPr>
        <w:t>á</w:t>
      </w:r>
      <w:r w:rsidR="00C01626" w:rsidRPr="00E741FB">
        <w:rPr>
          <w:rFonts w:ascii="Calibri" w:hAnsi="Calibri" w:cs="Calibri"/>
          <w:sz w:val="22"/>
          <w:szCs w:val="22"/>
          <w:lang w:val="es-MX"/>
        </w:rPr>
        <w:t>s</w:t>
      </w:r>
      <w:proofErr w:type="gramEnd"/>
      <w:r w:rsidR="00C01626" w:rsidRPr="00E741FB">
        <w:rPr>
          <w:rFonts w:ascii="Calibri" w:hAnsi="Calibri" w:cs="Calibri"/>
          <w:sz w:val="22"/>
          <w:szCs w:val="22"/>
          <w:lang w:val="es-MX"/>
        </w:rPr>
        <w:t xml:space="preserve"> se tendrán en cuenta los siguientes:</w:t>
      </w:r>
    </w:p>
    <w:p w14:paraId="5FB49C8F" w14:textId="77777777" w:rsidR="00DE2165" w:rsidRPr="00E741FB" w:rsidRDefault="00DE2165" w:rsidP="00E741FB">
      <w:pPr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74A50183" w14:textId="77777777" w:rsidR="0071029A" w:rsidRDefault="00DE2165" w:rsidP="00E741FB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</w:r>
    </w:p>
    <w:p w14:paraId="1EF39249" w14:textId="77777777" w:rsidR="00855B38" w:rsidRDefault="00855B38" w:rsidP="00E741FB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  <w:lang w:val="es-MX"/>
        </w:rPr>
      </w:pPr>
    </w:p>
    <w:p w14:paraId="2EE6FF7A" w14:textId="4614970C" w:rsidR="00DE2165" w:rsidRPr="00E741FB" w:rsidRDefault="00DE2165" w:rsidP="00E741FB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 xml:space="preserve">A) En las acciones formativas cuya participación en las mismas venga determinada por la selección que haga el propio Servicio, la comunicación </w:t>
      </w:r>
      <w:r w:rsidR="00924708">
        <w:rPr>
          <w:rFonts w:ascii="Calibri" w:hAnsi="Calibri" w:cs="Calibri"/>
          <w:sz w:val="22"/>
          <w:szCs w:val="22"/>
          <w:lang w:val="es-MX"/>
        </w:rPr>
        <w:t xml:space="preserve">de admisión </w:t>
      </w:r>
      <w:r w:rsidRPr="00E741FB">
        <w:rPr>
          <w:rFonts w:ascii="Calibri" w:hAnsi="Calibri" w:cs="Calibri"/>
          <w:sz w:val="22"/>
          <w:szCs w:val="22"/>
          <w:lang w:val="es-MX"/>
        </w:rPr>
        <w:t>al interesado se hará de oficio.</w:t>
      </w:r>
    </w:p>
    <w:p w14:paraId="6EE3C9E1" w14:textId="77777777" w:rsidR="00DE2165" w:rsidRPr="00E741FB" w:rsidRDefault="00DE2165" w:rsidP="00E741FB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  <w:lang w:val="es-MX"/>
        </w:rPr>
      </w:pPr>
    </w:p>
    <w:p w14:paraId="33C49F6B" w14:textId="3CF7978C" w:rsidR="00DE2165" w:rsidRPr="00E741FB" w:rsidRDefault="00DE2165" w:rsidP="00E741FB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  <w:t xml:space="preserve">B) En las acciones formativas cuya participación </w:t>
      </w:r>
      <w:r w:rsidR="00F32751">
        <w:rPr>
          <w:rFonts w:ascii="Calibri" w:hAnsi="Calibri" w:cs="Calibri"/>
          <w:sz w:val="22"/>
          <w:szCs w:val="22"/>
          <w:lang w:val="es-MX"/>
        </w:rPr>
        <w:t>sea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924708">
        <w:rPr>
          <w:rFonts w:ascii="Calibri" w:hAnsi="Calibri" w:cs="Calibri"/>
          <w:sz w:val="22"/>
          <w:szCs w:val="22"/>
          <w:lang w:val="es-MX"/>
        </w:rPr>
        <w:t>a petición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del interesado</w:t>
      </w:r>
      <w:r w:rsidR="00F32751">
        <w:rPr>
          <w:rFonts w:ascii="Calibri" w:hAnsi="Calibri" w:cs="Calibri"/>
          <w:sz w:val="22"/>
          <w:szCs w:val="22"/>
          <w:lang w:val="es-MX"/>
        </w:rPr>
        <w:t xml:space="preserve"> </w:t>
      </w:r>
      <w:r w:rsidRPr="00E741FB">
        <w:rPr>
          <w:rFonts w:ascii="Calibri" w:hAnsi="Calibri" w:cs="Calibri"/>
          <w:sz w:val="22"/>
          <w:szCs w:val="22"/>
          <w:lang w:val="es-MX"/>
        </w:rPr>
        <w:t>mediante la solicitud correspondiente, podrán establecerse requisitos par</w:t>
      </w:r>
      <w:r w:rsidR="00F32751">
        <w:rPr>
          <w:rFonts w:ascii="Calibri" w:hAnsi="Calibri" w:cs="Calibri"/>
          <w:sz w:val="22"/>
          <w:szCs w:val="22"/>
          <w:lang w:val="es-MX"/>
        </w:rPr>
        <w:t>a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F32751">
        <w:rPr>
          <w:rFonts w:ascii="Calibri" w:hAnsi="Calibri" w:cs="Calibri"/>
          <w:sz w:val="22"/>
          <w:szCs w:val="22"/>
          <w:lang w:val="es-MX"/>
        </w:rPr>
        <w:t>el acceso a las mismas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. A falta de requisitos o además de los que pudieran indicarse, los criterios </w:t>
      </w:r>
      <w:r w:rsidR="00A47AE6" w:rsidRPr="00A47AE6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básicos </w:t>
      </w:r>
      <w:r w:rsidRPr="00E741FB">
        <w:rPr>
          <w:rFonts w:ascii="Calibri" w:hAnsi="Calibri" w:cs="Calibri"/>
          <w:sz w:val="22"/>
          <w:szCs w:val="22"/>
          <w:lang w:val="es-MX"/>
        </w:rPr>
        <w:t>de selección serán:</w:t>
      </w:r>
    </w:p>
    <w:p w14:paraId="1924AE41" w14:textId="77777777" w:rsidR="00DE2165" w:rsidRPr="00E741FB" w:rsidRDefault="00DE2165" w:rsidP="00E741FB">
      <w:pPr>
        <w:tabs>
          <w:tab w:val="left" w:pos="720"/>
          <w:tab w:val="left" w:pos="1080"/>
        </w:tabs>
        <w:jc w:val="both"/>
        <w:rPr>
          <w:rFonts w:ascii="Calibri" w:hAnsi="Calibri" w:cs="Calibri"/>
          <w:sz w:val="22"/>
          <w:szCs w:val="22"/>
          <w:lang w:val="es-MX"/>
        </w:rPr>
      </w:pPr>
    </w:p>
    <w:p w14:paraId="2F3DBA0C" w14:textId="4E31B30B" w:rsidR="00DE2165" w:rsidRPr="00E741FB" w:rsidRDefault="0078713A" w:rsidP="00E741FB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B.1)</w:t>
      </w:r>
      <w:r w:rsidR="00DE2165" w:rsidRPr="00E741FB">
        <w:rPr>
          <w:rFonts w:ascii="Calibri" w:hAnsi="Calibri" w:cs="Calibri"/>
          <w:b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Puntuación por cursos realizados desde 201</w:t>
      </w:r>
      <w:r w:rsidR="00F32751">
        <w:rPr>
          <w:rFonts w:ascii="Calibri" w:hAnsi="Calibri" w:cs="Calibri"/>
          <w:sz w:val="22"/>
          <w:szCs w:val="22"/>
          <w:lang w:val="es-MX"/>
        </w:rPr>
        <w:t>2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 hasta el último día del plazo de presentación de solicitudes, dentro de los Planes de Formación de esta Universidad: </w:t>
      </w:r>
    </w:p>
    <w:p w14:paraId="6E172E4E" w14:textId="77777777" w:rsidR="00526D49" w:rsidRPr="00E741FB" w:rsidRDefault="00526D49" w:rsidP="00E741FB">
      <w:pPr>
        <w:tabs>
          <w:tab w:val="left" w:pos="1418"/>
          <w:tab w:val="left" w:pos="1843"/>
          <w:tab w:val="left" w:pos="3828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  <w:t>De</w:t>
      </w:r>
      <w:r w:rsidRPr="00E741FB">
        <w:rPr>
          <w:rFonts w:ascii="Calibri" w:hAnsi="Calibri" w:cs="Calibri"/>
          <w:sz w:val="22"/>
          <w:szCs w:val="22"/>
          <w:lang w:val="es-MX"/>
        </w:rPr>
        <w:tab/>
        <w:t xml:space="preserve">0 a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5 </w:t>
      </w:r>
      <w:r w:rsidRPr="00E741FB">
        <w:rPr>
          <w:rFonts w:ascii="Calibri" w:hAnsi="Calibri" w:cs="Calibri"/>
          <w:sz w:val="22"/>
          <w:szCs w:val="22"/>
          <w:lang w:val="es-MX"/>
        </w:rPr>
        <w:t>c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ursos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=</w:t>
      </w:r>
      <w:r w:rsidRPr="00E741FB">
        <w:rPr>
          <w:rFonts w:ascii="Calibri" w:hAnsi="Calibri" w:cs="Calibri"/>
          <w:sz w:val="22"/>
          <w:szCs w:val="22"/>
          <w:lang w:val="es-MX"/>
        </w:rPr>
        <w:tab/>
        <w:t xml:space="preserve">6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puntos</w:t>
      </w:r>
    </w:p>
    <w:p w14:paraId="0A585F46" w14:textId="77777777" w:rsidR="00526D49" w:rsidRPr="00E741FB" w:rsidRDefault="00526D49" w:rsidP="00E741FB">
      <w:pPr>
        <w:tabs>
          <w:tab w:val="left" w:pos="1418"/>
          <w:tab w:val="left" w:pos="1843"/>
          <w:tab w:val="left" w:pos="3828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  <w:t>De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6 a 10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c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ursos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=</w:t>
      </w:r>
      <w:r w:rsidRPr="00E741FB">
        <w:rPr>
          <w:rFonts w:ascii="Calibri" w:hAnsi="Calibri" w:cs="Calibri"/>
          <w:sz w:val="22"/>
          <w:szCs w:val="22"/>
          <w:lang w:val="es-MX"/>
        </w:rPr>
        <w:tab/>
        <w:t>5 puntos</w:t>
      </w:r>
    </w:p>
    <w:p w14:paraId="7B4BBA7F" w14:textId="77777777" w:rsidR="00526D49" w:rsidRPr="00E741FB" w:rsidRDefault="00526D49" w:rsidP="00E741FB">
      <w:pPr>
        <w:tabs>
          <w:tab w:val="left" w:pos="1418"/>
          <w:tab w:val="left" w:pos="1843"/>
          <w:tab w:val="left" w:pos="3828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De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11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a 15 </w:t>
      </w:r>
      <w:r w:rsidRPr="00E741FB">
        <w:rPr>
          <w:rFonts w:ascii="Calibri" w:hAnsi="Calibri" w:cs="Calibri"/>
          <w:sz w:val="22"/>
          <w:szCs w:val="22"/>
          <w:lang w:val="es-MX"/>
        </w:rPr>
        <w:t>c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ursos =</w:t>
      </w:r>
      <w:r w:rsidRPr="00E741FB">
        <w:rPr>
          <w:rFonts w:ascii="Calibri" w:hAnsi="Calibri" w:cs="Calibri"/>
          <w:sz w:val="22"/>
          <w:szCs w:val="22"/>
          <w:lang w:val="es-MX"/>
        </w:rPr>
        <w:tab/>
        <w:t>4 puntos</w:t>
      </w:r>
    </w:p>
    <w:p w14:paraId="233E9193" w14:textId="77777777" w:rsidR="00526D49" w:rsidRPr="00E741FB" w:rsidRDefault="00526D49" w:rsidP="00E741FB">
      <w:pPr>
        <w:tabs>
          <w:tab w:val="left" w:pos="1418"/>
          <w:tab w:val="left" w:pos="1843"/>
          <w:tab w:val="left" w:pos="3828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  <w:t>D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e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16 a 20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c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ursos =</w:t>
      </w:r>
      <w:r w:rsidRPr="00E741FB">
        <w:rPr>
          <w:rFonts w:ascii="Calibri" w:hAnsi="Calibri" w:cs="Calibri"/>
          <w:sz w:val="22"/>
          <w:szCs w:val="22"/>
          <w:lang w:val="es-MX"/>
        </w:rPr>
        <w:tab/>
        <w:t>3 puntos</w:t>
      </w:r>
    </w:p>
    <w:p w14:paraId="32637C8F" w14:textId="77777777" w:rsidR="00526D49" w:rsidRPr="00E741FB" w:rsidRDefault="00526D49" w:rsidP="00E741FB">
      <w:pPr>
        <w:tabs>
          <w:tab w:val="left" w:pos="1418"/>
          <w:tab w:val="left" w:pos="1843"/>
          <w:tab w:val="left" w:pos="3828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De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21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a 25 </w:t>
      </w:r>
      <w:r w:rsidRPr="00E741FB">
        <w:rPr>
          <w:rFonts w:ascii="Calibri" w:hAnsi="Calibri" w:cs="Calibri"/>
          <w:sz w:val="22"/>
          <w:szCs w:val="22"/>
          <w:lang w:val="es-MX"/>
        </w:rPr>
        <w:t>c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ursos =</w:t>
      </w:r>
      <w:r w:rsidRPr="00E741FB">
        <w:rPr>
          <w:rFonts w:ascii="Calibri" w:hAnsi="Calibri" w:cs="Calibri"/>
          <w:sz w:val="22"/>
          <w:szCs w:val="22"/>
          <w:lang w:val="es-MX"/>
        </w:rPr>
        <w:tab/>
        <w:t>2 puntos</w:t>
      </w:r>
    </w:p>
    <w:p w14:paraId="2DAE50B8" w14:textId="77777777" w:rsidR="00DE2165" w:rsidRPr="00E741FB" w:rsidRDefault="00526D49" w:rsidP="00E741FB">
      <w:pPr>
        <w:tabs>
          <w:tab w:val="left" w:pos="1418"/>
          <w:tab w:val="left" w:pos="1843"/>
          <w:tab w:val="left" w:pos="3828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Más de 25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c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ursos =</w:t>
      </w:r>
      <w:r w:rsidRPr="00E741FB">
        <w:rPr>
          <w:rFonts w:ascii="Calibri" w:hAnsi="Calibri" w:cs="Calibri"/>
          <w:sz w:val="22"/>
          <w:szCs w:val="22"/>
          <w:lang w:val="es-MX"/>
        </w:rPr>
        <w:tab/>
        <w:t>1 punto</w:t>
      </w:r>
    </w:p>
    <w:p w14:paraId="135B635C" w14:textId="77777777" w:rsidR="00DE2165" w:rsidRPr="00E741FB" w:rsidRDefault="00DE2165" w:rsidP="00E741FB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Calibri" w:hAnsi="Calibri" w:cs="Calibri"/>
          <w:sz w:val="22"/>
          <w:szCs w:val="22"/>
          <w:lang w:val="es-MX"/>
        </w:rPr>
      </w:pPr>
    </w:p>
    <w:p w14:paraId="33FF82F6" w14:textId="4B4FBCA6" w:rsidR="00DE2165" w:rsidRPr="00E741FB" w:rsidRDefault="00DE2165" w:rsidP="00E741F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  <w:t xml:space="preserve">B.2) Puntuación por antigüedad en la Administración, al </w:t>
      </w:r>
      <w:r w:rsidR="008B5251" w:rsidRPr="00E741FB">
        <w:rPr>
          <w:rFonts w:ascii="Calibri" w:hAnsi="Calibri" w:cs="Calibri"/>
          <w:sz w:val="22"/>
          <w:szCs w:val="22"/>
          <w:lang w:val="es-MX"/>
        </w:rPr>
        <w:t>1 de febrero</w:t>
      </w:r>
      <w:r w:rsidR="00C01626" w:rsidRPr="00E741FB">
        <w:rPr>
          <w:rFonts w:ascii="Calibri" w:hAnsi="Calibri" w:cs="Calibri"/>
          <w:sz w:val="22"/>
          <w:szCs w:val="22"/>
          <w:lang w:val="es-MX"/>
        </w:rPr>
        <w:t xml:space="preserve"> de </w:t>
      </w:r>
      <w:r w:rsidR="0068745C" w:rsidRPr="00E741FB">
        <w:rPr>
          <w:rFonts w:ascii="Calibri" w:hAnsi="Calibri" w:cs="Calibri"/>
          <w:sz w:val="22"/>
          <w:szCs w:val="22"/>
          <w:lang w:val="es-MX"/>
        </w:rPr>
        <w:t>202</w:t>
      </w:r>
      <w:r w:rsidR="00F32751">
        <w:rPr>
          <w:rFonts w:ascii="Calibri" w:hAnsi="Calibri" w:cs="Calibri"/>
          <w:sz w:val="22"/>
          <w:szCs w:val="22"/>
          <w:lang w:val="es-MX"/>
        </w:rPr>
        <w:t>2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(meses):</w:t>
      </w:r>
    </w:p>
    <w:p w14:paraId="6C4FD63B" w14:textId="77777777" w:rsidR="0078713A" w:rsidRPr="00E741FB" w:rsidRDefault="0078713A" w:rsidP="00E741FB">
      <w:pPr>
        <w:tabs>
          <w:tab w:val="left" w:pos="1418"/>
          <w:tab w:val="left" w:pos="1843"/>
          <w:tab w:val="left" w:pos="3828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De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0 a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50 meses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=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1 punto</w:t>
      </w:r>
    </w:p>
    <w:p w14:paraId="4DDA7E7C" w14:textId="77777777" w:rsidR="0078713A" w:rsidRPr="00E741FB" w:rsidRDefault="0078713A" w:rsidP="00E741FB">
      <w:pPr>
        <w:tabs>
          <w:tab w:val="left" w:pos="1418"/>
          <w:tab w:val="left" w:pos="1843"/>
          <w:tab w:val="left" w:pos="3828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  <w:t>De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51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a 100 meses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=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2 puntos</w:t>
      </w:r>
    </w:p>
    <w:p w14:paraId="523327FF" w14:textId="77777777" w:rsidR="0078713A" w:rsidRPr="00E741FB" w:rsidRDefault="0078713A" w:rsidP="00E741FB">
      <w:pPr>
        <w:tabs>
          <w:tab w:val="left" w:pos="1418"/>
          <w:tab w:val="left" w:pos="1843"/>
          <w:tab w:val="left" w:pos="3828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De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101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a 150 meses =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3 puntos</w:t>
      </w:r>
    </w:p>
    <w:p w14:paraId="0F925062" w14:textId="77777777" w:rsidR="0078713A" w:rsidRPr="00E741FB" w:rsidRDefault="0078713A" w:rsidP="00E741FB">
      <w:pPr>
        <w:tabs>
          <w:tab w:val="left" w:pos="1418"/>
          <w:tab w:val="left" w:pos="1843"/>
          <w:tab w:val="left" w:pos="3828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De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151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a 250 meses =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4 puntos</w:t>
      </w:r>
    </w:p>
    <w:p w14:paraId="7B2284E8" w14:textId="77777777" w:rsidR="0078713A" w:rsidRPr="00E741FB" w:rsidRDefault="0078713A" w:rsidP="00E741FB">
      <w:pPr>
        <w:tabs>
          <w:tab w:val="left" w:pos="1418"/>
          <w:tab w:val="left" w:pos="1843"/>
          <w:tab w:val="left" w:pos="3828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De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251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a 300 meses =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5 puntos</w:t>
      </w:r>
    </w:p>
    <w:p w14:paraId="7651B928" w14:textId="77777777" w:rsidR="00DE2165" w:rsidRPr="00E741FB" w:rsidRDefault="0078713A" w:rsidP="00E741FB">
      <w:pPr>
        <w:tabs>
          <w:tab w:val="left" w:pos="1418"/>
          <w:tab w:val="left" w:pos="1843"/>
          <w:tab w:val="left" w:pos="3828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Más de 300 meses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=</w:t>
      </w:r>
      <w:r w:rsidRPr="00E741FB">
        <w:rPr>
          <w:rFonts w:ascii="Calibri" w:hAnsi="Calibri" w:cs="Calibri"/>
          <w:sz w:val="22"/>
          <w:szCs w:val="22"/>
          <w:lang w:val="es-MX"/>
        </w:rPr>
        <w:tab/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6 puntos</w:t>
      </w:r>
    </w:p>
    <w:p w14:paraId="38391D8E" w14:textId="77777777" w:rsidR="00DE2165" w:rsidRPr="00E741FB" w:rsidRDefault="00DE2165" w:rsidP="00E741FB">
      <w:pPr>
        <w:tabs>
          <w:tab w:val="left" w:pos="720"/>
          <w:tab w:val="left" w:pos="1080"/>
        </w:tabs>
        <w:jc w:val="both"/>
        <w:rPr>
          <w:rFonts w:ascii="Calibri" w:hAnsi="Calibri" w:cs="Calibri"/>
          <w:sz w:val="22"/>
          <w:szCs w:val="22"/>
          <w:lang w:val="es-MX"/>
        </w:rPr>
      </w:pPr>
    </w:p>
    <w:p w14:paraId="022FAB54" w14:textId="3982AAC7" w:rsidR="00DE2165" w:rsidRPr="00E741FB" w:rsidRDefault="00DE2165" w:rsidP="00E741FB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  <w:t>B.3) La suma de las puntuaciones obtenidas en los apartados B.1) y B.2) determinará el orden de prioridad para el acceso a estos cursos. En caso de empate en las puntuaciones anteriores</w:t>
      </w:r>
      <w:r w:rsidR="00850EF1">
        <w:rPr>
          <w:rFonts w:ascii="Calibri" w:hAnsi="Calibri" w:cs="Calibri"/>
          <w:sz w:val="22"/>
          <w:szCs w:val="22"/>
          <w:lang w:val="es-MX"/>
        </w:rPr>
        <w:t xml:space="preserve">, </w:t>
      </w:r>
      <w:r w:rsidRPr="00E741FB">
        <w:rPr>
          <w:rFonts w:ascii="Calibri" w:hAnsi="Calibri" w:cs="Calibri"/>
          <w:sz w:val="22"/>
          <w:szCs w:val="22"/>
          <w:lang w:val="es-MX"/>
        </w:rPr>
        <w:t>el orden final se establecerá atendiendo sucesivamente a la mayor antigüedad en la Administración, si persistiera el empate el orden se establecerá por orden alfabético.</w:t>
      </w:r>
    </w:p>
    <w:p w14:paraId="79CC67B7" w14:textId="77777777" w:rsidR="00577C81" w:rsidRPr="00E741FB" w:rsidRDefault="00577C81" w:rsidP="00E741FB">
      <w:pPr>
        <w:tabs>
          <w:tab w:val="left" w:pos="720"/>
          <w:tab w:val="left" w:pos="1080"/>
        </w:tabs>
        <w:jc w:val="both"/>
        <w:rPr>
          <w:rFonts w:ascii="Calibri" w:hAnsi="Calibri" w:cs="Calibri"/>
          <w:sz w:val="22"/>
          <w:szCs w:val="22"/>
          <w:lang w:val="es-MX"/>
        </w:rPr>
      </w:pPr>
    </w:p>
    <w:p w14:paraId="31B3CC26" w14:textId="57C7E5C6" w:rsidR="00DE2165" w:rsidRDefault="00DE2165" w:rsidP="00E741FB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ab/>
        <w:t>C</w:t>
      </w:r>
      <w:r w:rsidRPr="009E24A8">
        <w:rPr>
          <w:rFonts w:ascii="Calibri" w:hAnsi="Calibri" w:cs="Calibri"/>
          <w:sz w:val="22"/>
          <w:szCs w:val="22"/>
          <w:lang w:val="es-MX"/>
        </w:rPr>
        <w:t>) Al objeto de garantizar que las necesidades del servicio queden cubiertas, los responsables de las unidades administrativas</w:t>
      </w:r>
      <w:r w:rsidR="00113DC8">
        <w:rPr>
          <w:rFonts w:ascii="Calibri" w:hAnsi="Calibri" w:cs="Calibri"/>
          <w:sz w:val="22"/>
          <w:szCs w:val="22"/>
          <w:lang w:val="es-MX"/>
        </w:rPr>
        <w:t xml:space="preserve"> </w:t>
      </w:r>
      <w:r w:rsidRPr="009E24A8">
        <w:rPr>
          <w:rFonts w:ascii="Calibri" w:hAnsi="Calibri" w:cs="Calibri"/>
          <w:sz w:val="22"/>
          <w:szCs w:val="22"/>
          <w:lang w:val="es-MX"/>
        </w:rPr>
        <w:t>en las que se produzcan concurrencias en un mismo curso</w:t>
      </w:r>
      <w:r w:rsidR="00C94A26">
        <w:rPr>
          <w:rFonts w:ascii="Calibri" w:hAnsi="Calibri" w:cs="Calibri"/>
          <w:sz w:val="22"/>
          <w:szCs w:val="22"/>
          <w:lang w:val="es-MX"/>
        </w:rPr>
        <w:t xml:space="preserve"> -</w:t>
      </w:r>
      <w:r w:rsidR="00AD4B9F" w:rsidRPr="00F1489A">
        <w:rPr>
          <w:rFonts w:ascii="Calibri" w:hAnsi="Calibri" w:cs="Calibri"/>
          <w:color w:val="4472C4" w:themeColor="accent5"/>
          <w:sz w:val="22"/>
          <w:szCs w:val="22"/>
          <w:lang w:val="es-MX"/>
        </w:rPr>
        <w:t>aun siendo en modalidad online</w:t>
      </w:r>
      <w:r w:rsidR="00C94A26">
        <w:rPr>
          <w:rFonts w:ascii="Calibri" w:hAnsi="Calibri" w:cs="Calibri"/>
          <w:color w:val="4472C4" w:themeColor="accent5"/>
          <w:sz w:val="22"/>
          <w:szCs w:val="22"/>
          <w:lang w:val="es-MX"/>
        </w:rPr>
        <w:t>-</w:t>
      </w:r>
      <w:r w:rsidR="00AD4B9F" w:rsidRPr="007654D1">
        <w:rPr>
          <w:rFonts w:ascii="Calibri" w:hAnsi="Calibri" w:cs="Calibri"/>
          <w:color w:val="4472C4" w:themeColor="accent5"/>
          <w:sz w:val="22"/>
          <w:szCs w:val="22"/>
          <w:lang w:val="es-MX"/>
        </w:rPr>
        <w:t xml:space="preserve"> </w:t>
      </w:r>
      <w:r w:rsidRPr="009E24A8">
        <w:rPr>
          <w:rFonts w:ascii="Calibri" w:hAnsi="Calibri" w:cs="Calibri"/>
          <w:sz w:val="22"/>
          <w:szCs w:val="22"/>
          <w:lang w:val="es-MX"/>
        </w:rPr>
        <w:t>entre el personal de su propia unidad, deberán seguir como norma general, el siguiente criterio:</w:t>
      </w:r>
    </w:p>
    <w:p w14:paraId="0AF6E73B" w14:textId="77777777" w:rsidR="00AD4B9F" w:rsidRDefault="00AD4B9F" w:rsidP="00E741FB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  <w:lang w:val="es-MX"/>
        </w:rPr>
      </w:pPr>
    </w:p>
    <w:tbl>
      <w:tblPr>
        <w:tblW w:w="8414" w:type="dxa"/>
        <w:jc w:val="center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833"/>
        <w:gridCol w:w="2692"/>
        <w:gridCol w:w="2889"/>
      </w:tblGrid>
      <w:tr w:rsidR="00AD4B9F" w:rsidRPr="00E741FB" w14:paraId="3E344906" w14:textId="77777777" w:rsidTr="006E32B1">
        <w:trPr>
          <w:cantSplit/>
          <w:trHeight w:val="403"/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D116CFE" w14:textId="77777777" w:rsidR="00AD4B9F" w:rsidRPr="00E741FB" w:rsidRDefault="00AD4B9F" w:rsidP="006E32B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741FB">
              <w:rPr>
                <w:rFonts w:ascii="Calibri" w:hAnsi="Calibri" w:cs="Calibri"/>
                <w:b/>
                <w:sz w:val="22"/>
                <w:szCs w:val="22"/>
                <w:lang w:val="es-MX" w:eastAsia="en-US"/>
              </w:rPr>
              <w:t>Número de efectivos de la unidad administrativa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08F2CB4" w14:textId="77777777" w:rsidR="00AD4B9F" w:rsidRPr="00E741FB" w:rsidRDefault="00AD4B9F" w:rsidP="006E32B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741FB">
              <w:rPr>
                <w:rFonts w:ascii="Calibri" w:hAnsi="Calibri" w:cs="Calibri"/>
                <w:b/>
                <w:sz w:val="22"/>
                <w:szCs w:val="22"/>
                <w:lang w:val="es-MX" w:eastAsia="en-US"/>
              </w:rPr>
              <w:t>Personal que podrá asistir a los cursos convocados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B2ECD3" w14:textId="77777777" w:rsidR="00AD4B9F" w:rsidRPr="00E741FB" w:rsidRDefault="00AD4B9F" w:rsidP="006E32B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741FB">
              <w:rPr>
                <w:rFonts w:ascii="Calibri" w:hAnsi="Calibri" w:cs="Calibri"/>
                <w:b/>
                <w:sz w:val="22"/>
                <w:szCs w:val="22"/>
                <w:lang w:val="es-MX" w:eastAsia="en-US"/>
              </w:rPr>
              <w:t>Personal que podrá asistir a las conferencias convocadas</w:t>
            </w:r>
          </w:p>
        </w:tc>
      </w:tr>
      <w:tr w:rsidR="00AD4B9F" w:rsidRPr="00E741FB" w14:paraId="2444AEE0" w14:textId="77777777" w:rsidTr="006E32B1">
        <w:trPr>
          <w:cantSplit/>
          <w:trHeight w:val="403"/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6E23415" w14:textId="77777777" w:rsidR="00AD4B9F" w:rsidRPr="00E741FB" w:rsidRDefault="00AD4B9F" w:rsidP="006E32B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741FB">
              <w:rPr>
                <w:rFonts w:ascii="Calibri" w:hAnsi="Calibri" w:cs="Calibri"/>
                <w:sz w:val="22"/>
                <w:szCs w:val="22"/>
                <w:lang w:val="es-MX" w:eastAsia="en-US"/>
              </w:rPr>
              <w:t>De 1 a 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EF4FFB7" w14:textId="77777777" w:rsidR="00AD4B9F" w:rsidRPr="00E741FB" w:rsidRDefault="00AD4B9F" w:rsidP="006E32B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741FB">
              <w:rPr>
                <w:rFonts w:ascii="Calibri" w:hAnsi="Calibri" w:cs="Calibri"/>
                <w:sz w:val="22"/>
                <w:szCs w:val="22"/>
                <w:lang w:val="es-MX" w:eastAsia="en-US"/>
              </w:rPr>
              <w:t>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02F382" w14:textId="77777777" w:rsidR="00AD4B9F" w:rsidRPr="00E741FB" w:rsidRDefault="00AD4B9F" w:rsidP="006E32B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741FB">
              <w:rPr>
                <w:rFonts w:ascii="Calibri" w:hAnsi="Calibri" w:cs="Calibri"/>
                <w:sz w:val="22"/>
                <w:szCs w:val="22"/>
                <w:lang w:val="es-MX" w:eastAsia="en-US"/>
              </w:rPr>
              <w:t>2</w:t>
            </w:r>
          </w:p>
        </w:tc>
      </w:tr>
      <w:tr w:rsidR="00AD4B9F" w:rsidRPr="00E741FB" w14:paraId="00141959" w14:textId="77777777" w:rsidTr="006E32B1">
        <w:trPr>
          <w:cantSplit/>
          <w:trHeight w:val="403"/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9F58989" w14:textId="77777777" w:rsidR="00AD4B9F" w:rsidRPr="00E741FB" w:rsidRDefault="00AD4B9F" w:rsidP="006E32B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741FB">
              <w:rPr>
                <w:rFonts w:ascii="Calibri" w:hAnsi="Calibri" w:cs="Calibri"/>
                <w:sz w:val="22"/>
                <w:szCs w:val="22"/>
                <w:lang w:val="es-MX" w:eastAsia="en-US"/>
              </w:rPr>
              <w:t>De 1 a 10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BAA3585" w14:textId="77777777" w:rsidR="00AD4B9F" w:rsidRPr="00E741FB" w:rsidRDefault="00AD4B9F" w:rsidP="006E32B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741FB">
              <w:rPr>
                <w:rFonts w:ascii="Calibri" w:hAnsi="Calibri" w:cs="Calibri"/>
                <w:sz w:val="22"/>
                <w:szCs w:val="22"/>
                <w:lang w:val="es-MX" w:eastAsia="en-US"/>
              </w:rPr>
              <w:t>3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D406C2" w14:textId="77777777" w:rsidR="00AD4B9F" w:rsidRPr="00E741FB" w:rsidRDefault="00AD4B9F" w:rsidP="006E32B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741FB">
              <w:rPr>
                <w:rFonts w:ascii="Calibri" w:hAnsi="Calibri" w:cs="Calibri"/>
                <w:sz w:val="22"/>
                <w:szCs w:val="22"/>
                <w:lang w:val="es-MX" w:eastAsia="en-US"/>
              </w:rPr>
              <w:t>4</w:t>
            </w:r>
          </w:p>
        </w:tc>
      </w:tr>
      <w:tr w:rsidR="00AD4B9F" w:rsidRPr="00E741FB" w14:paraId="7DD49A7D" w14:textId="77777777" w:rsidTr="006E32B1">
        <w:trPr>
          <w:cantSplit/>
          <w:trHeight w:val="403"/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1D08C8" w14:textId="77777777" w:rsidR="00AD4B9F" w:rsidRPr="00E741FB" w:rsidRDefault="00AD4B9F" w:rsidP="006E32B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741FB">
              <w:rPr>
                <w:rFonts w:ascii="Calibri" w:hAnsi="Calibri" w:cs="Calibri"/>
                <w:sz w:val="22"/>
                <w:szCs w:val="22"/>
                <w:lang w:val="es-MX" w:eastAsia="en-US"/>
              </w:rPr>
              <w:t>Más de 10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AE6A2E5" w14:textId="77777777" w:rsidR="00AD4B9F" w:rsidRPr="00E741FB" w:rsidRDefault="00AD4B9F" w:rsidP="006E32B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741FB">
              <w:rPr>
                <w:rFonts w:ascii="Calibri" w:hAnsi="Calibri" w:cs="Calibri"/>
                <w:sz w:val="22"/>
                <w:szCs w:val="22"/>
                <w:lang w:val="es-MX" w:eastAsia="en-US"/>
              </w:rPr>
              <w:t>4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4022F" w14:textId="77777777" w:rsidR="00AD4B9F" w:rsidRPr="00E741FB" w:rsidRDefault="00AD4B9F" w:rsidP="006E32B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741FB">
              <w:rPr>
                <w:rFonts w:ascii="Calibri" w:hAnsi="Calibri" w:cs="Calibri"/>
                <w:sz w:val="22"/>
                <w:szCs w:val="22"/>
                <w:lang w:val="es-MX" w:eastAsia="en-US"/>
              </w:rPr>
              <w:t>6</w:t>
            </w:r>
          </w:p>
        </w:tc>
      </w:tr>
    </w:tbl>
    <w:p w14:paraId="6037B04F" w14:textId="77777777" w:rsidR="00DE2165" w:rsidRPr="00E741FB" w:rsidRDefault="00DE2165" w:rsidP="00E741FB">
      <w:pPr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2552C0A3" w14:textId="77777777" w:rsidR="003A5FF2" w:rsidRDefault="003A5FF2" w:rsidP="00E741FB">
      <w:pPr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</w:p>
    <w:p w14:paraId="109B30D0" w14:textId="77777777" w:rsidR="00750381" w:rsidRDefault="00750381" w:rsidP="00E741FB">
      <w:pPr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</w:p>
    <w:p w14:paraId="5373AD20" w14:textId="237D14FF" w:rsidR="00DE2165" w:rsidRPr="00AD4B9F" w:rsidRDefault="00DE2165" w:rsidP="00E741FB">
      <w:pPr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  <w:r w:rsidRPr="00AD4B9F">
        <w:rPr>
          <w:rFonts w:ascii="Calibri" w:hAnsi="Calibri" w:cs="Calibri"/>
          <w:color w:val="000000" w:themeColor="text1"/>
          <w:sz w:val="22"/>
          <w:szCs w:val="22"/>
          <w:lang w:val="es-MX"/>
        </w:rPr>
        <w:t>No obstante, y a iniciativa del responsable de la unidad administrativa correspondiente, se podrá modificar el criterio anterior, en función de circunstancias relacionadas con el volumen de trabajo, plazos y otras situaciones que aconsejen la modificación de dicho criterio.</w:t>
      </w:r>
    </w:p>
    <w:p w14:paraId="107CD5C3" w14:textId="77777777" w:rsidR="00850EF1" w:rsidRPr="00AD4B9F" w:rsidRDefault="00850EF1" w:rsidP="00E741FB">
      <w:pPr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</w:p>
    <w:p w14:paraId="104EF8DC" w14:textId="77777777" w:rsidR="00DE2165" w:rsidRPr="00AD4B9F" w:rsidRDefault="00DE2165" w:rsidP="00E741FB">
      <w:pPr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  <w:r w:rsidRPr="00AD4B9F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Al objeto de agilizar el cumplimiento de este criterio, el personal </w:t>
      </w:r>
      <w:r w:rsidR="00685A1C" w:rsidRPr="00AD4B9F">
        <w:rPr>
          <w:rFonts w:ascii="Calibri" w:hAnsi="Calibri" w:cs="Calibri"/>
          <w:color w:val="000000" w:themeColor="text1"/>
          <w:sz w:val="22"/>
          <w:szCs w:val="22"/>
          <w:lang w:val="es-MX"/>
        </w:rPr>
        <w:t>admitido</w:t>
      </w:r>
      <w:r w:rsidRPr="00AD4B9F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 e</w:t>
      </w:r>
      <w:r w:rsidR="00E7718B" w:rsidRPr="00AD4B9F">
        <w:rPr>
          <w:rFonts w:ascii="Calibri" w:hAnsi="Calibri" w:cs="Calibri"/>
          <w:color w:val="000000" w:themeColor="text1"/>
          <w:sz w:val="22"/>
          <w:szCs w:val="22"/>
          <w:lang w:val="es-MX"/>
        </w:rPr>
        <w:t>n</w:t>
      </w:r>
      <w:r w:rsidRPr="00AD4B9F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 un curso/conferencia deberá comunicar, de inmediato, esta circunstancia al responsable de su unidad administrativa. Los responsables de las unidades administrativas dispondrán de un plazo de 3 días hábiles, desde el día siguiente a la </w:t>
      </w:r>
      <w:r w:rsidR="00685A1C" w:rsidRPr="00AD4B9F">
        <w:rPr>
          <w:rFonts w:ascii="Calibri" w:hAnsi="Calibri" w:cs="Calibri"/>
          <w:color w:val="000000" w:themeColor="text1"/>
          <w:sz w:val="22"/>
          <w:szCs w:val="22"/>
          <w:lang w:val="es-MX"/>
        </w:rPr>
        <w:t>recepción del correo electrónico de admisión de la Sección de Formación del Pas</w:t>
      </w:r>
      <w:r w:rsidRPr="00AD4B9F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, para comunicar al </w:t>
      </w:r>
      <w:proofErr w:type="gramStart"/>
      <w:r w:rsidRPr="00AD4B9F">
        <w:rPr>
          <w:rFonts w:ascii="Calibri" w:hAnsi="Calibri" w:cs="Calibri"/>
          <w:color w:val="000000" w:themeColor="text1"/>
          <w:sz w:val="22"/>
          <w:szCs w:val="22"/>
          <w:lang w:val="es-MX"/>
        </w:rPr>
        <w:t>Jefe</w:t>
      </w:r>
      <w:proofErr w:type="gramEnd"/>
      <w:r w:rsidRPr="00AD4B9F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 de la Sección de Formación del PAS su disconformidad con las mismas, entendiéndose su conformidad en caso de no mediar comunicación.</w:t>
      </w:r>
    </w:p>
    <w:p w14:paraId="40ADD05C" w14:textId="77777777" w:rsidR="00DE2165" w:rsidRPr="00AD4B9F" w:rsidRDefault="00DE2165" w:rsidP="00E741FB">
      <w:pPr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</w:p>
    <w:p w14:paraId="671F3B5A" w14:textId="77777777" w:rsidR="00DE2165" w:rsidRPr="00AD4B9F" w:rsidRDefault="00DE2165" w:rsidP="00E741FB">
      <w:pPr>
        <w:jc w:val="both"/>
        <w:rPr>
          <w:rFonts w:ascii="Calibri" w:hAnsi="Calibri" w:cs="Calibri"/>
          <w:color w:val="000000" w:themeColor="text1"/>
          <w:sz w:val="22"/>
          <w:szCs w:val="22"/>
          <w:lang w:val="es-MX"/>
        </w:rPr>
      </w:pPr>
      <w:r w:rsidRPr="00AD4B9F">
        <w:rPr>
          <w:rFonts w:ascii="Calibri" w:hAnsi="Calibri" w:cs="Calibri"/>
          <w:color w:val="000000" w:themeColor="text1"/>
          <w:sz w:val="22"/>
          <w:szCs w:val="22"/>
          <w:lang w:val="es-MX"/>
        </w:rPr>
        <w:t>Cuando la acción formativa vaya dirigida a los miembros de una unidad administrativa concreta no se tendrá en cuenta este apartado.</w:t>
      </w:r>
    </w:p>
    <w:p w14:paraId="3434D50C" w14:textId="77777777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14:paraId="69DDEFAB" w14:textId="77777777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>En caso de coincidir el horario de las acciones formativas con la jornada de trabajo del personal, el tiempo de asistencia o impartición se computará a todos los efectos como de trabajo efectivo.</w:t>
      </w:r>
    </w:p>
    <w:p w14:paraId="024069D0" w14:textId="77777777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14:paraId="7C27F93F" w14:textId="77777777" w:rsidR="00DE2165" w:rsidRPr="00E741FB" w:rsidRDefault="00DF4CC3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  <w:proofErr w:type="gramStart"/>
      <w:r w:rsidRPr="00E741FB">
        <w:rPr>
          <w:rFonts w:ascii="Calibri" w:hAnsi="Calibri" w:cs="Calibri"/>
          <w:b/>
          <w:sz w:val="22"/>
          <w:szCs w:val="22"/>
          <w:lang w:val="es-MX"/>
        </w:rPr>
        <w:t>Quinta.-</w:t>
      </w:r>
      <w:proofErr w:type="gramEnd"/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 Las circunstancias personales y profesionales a tener en cuenta para efectuar la selección serán las que correspondan con las fechas indicadas en la base cuarta.</w:t>
      </w:r>
    </w:p>
    <w:p w14:paraId="2491D7EF" w14:textId="77777777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14:paraId="0A15A18D" w14:textId="0A78D1B8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>A este respecto, la Sección de Formación del Personal de Administración y Servicios</w:t>
      </w:r>
      <w:r w:rsidR="00326523">
        <w:rPr>
          <w:rFonts w:ascii="Calibri" w:hAnsi="Calibri" w:cs="Calibri"/>
          <w:sz w:val="22"/>
          <w:szCs w:val="22"/>
          <w:lang w:val="es-MX"/>
        </w:rPr>
        <w:t xml:space="preserve"> </w:t>
      </w:r>
      <w:r w:rsidRPr="00E741FB">
        <w:rPr>
          <w:rFonts w:ascii="Calibri" w:hAnsi="Calibri" w:cs="Calibri"/>
          <w:sz w:val="22"/>
          <w:szCs w:val="22"/>
          <w:lang w:val="es-MX"/>
        </w:rPr>
        <w:t>considerará los datos aportados por los solicitantes, sin perjuicio de requerir directamente de éstos</w:t>
      </w:r>
      <w:r w:rsidR="00854DD4">
        <w:rPr>
          <w:rFonts w:ascii="Calibri" w:hAnsi="Calibri" w:cs="Calibri"/>
          <w:sz w:val="22"/>
          <w:szCs w:val="22"/>
          <w:lang w:val="es-MX"/>
        </w:rPr>
        <w:t xml:space="preserve"> </w:t>
      </w:r>
      <w:r w:rsidRPr="00E741FB">
        <w:rPr>
          <w:rFonts w:ascii="Calibri" w:hAnsi="Calibri" w:cs="Calibri"/>
          <w:sz w:val="22"/>
          <w:szCs w:val="22"/>
          <w:lang w:val="es-MX"/>
        </w:rPr>
        <w:t>o de las unidades administrativas donde consten sus datos las aclaraciones que se consideren pertinentes. Igualmente</w:t>
      </w:r>
      <w:r w:rsidR="00E879C9" w:rsidRPr="00E741FB">
        <w:rPr>
          <w:rFonts w:ascii="Calibri" w:hAnsi="Calibri" w:cs="Calibri"/>
          <w:sz w:val="22"/>
          <w:szCs w:val="22"/>
          <w:lang w:val="es-MX"/>
        </w:rPr>
        <w:t>,</w:t>
      </w:r>
      <w:r w:rsidRPr="00E741FB">
        <w:rPr>
          <w:rFonts w:ascii="Calibri" w:hAnsi="Calibri" w:cs="Calibri"/>
          <w:sz w:val="22"/>
          <w:szCs w:val="22"/>
          <w:lang w:val="es-MX"/>
        </w:rPr>
        <w:t xml:space="preserve"> la citada Sección podrá revocar la admisión de cualquier solicitante cuando compruebe que ha incurrido en omisión o falsedad de datos.</w:t>
      </w:r>
    </w:p>
    <w:p w14:paraId="7AE35AC3" w14:textId="77777777" w:rsidR="00DE2165" w:rsidRPr="00E741FB" w:rsidRDefault="00DE2165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14:paraId="7F1DE20C" w14:textId="5D495EA7" w:rsidR="00E741FB" w:rsidRPr="00736CAF" w:rsidRDefault="00DE2165" w:rsidP="00E741FB">
      <w:pPr>
        <w:jc w:val="both"/>
        <w:rPr>
          <w:rFonts w:ascii="Calibri" w:hAnsi="Calibri" w:cs="Calibri"/>
          <w:color w:val="2E74B5" w:themeColor="accent1" w:themeShade="BF"/>
          <w:sz w:val="22"/>
          <w:szCs w:val="22"/>
          <w:lang w:val="es-ES"/>
        </w:rPr>
      </w:pPr>
      <w:proofErr w:type="gramStart"/>
      <w:r w:rsidRPr="00E741FB">
        <w:rPr>
          <w:rFonts w:ascii="Calibri" w:hAnsi="Calibri" w:cs="Calibri"/>
          <w:b/>
          <w:sz w:val="22"/>
          <w:szCs w:val="22"/>
          <w:lang w:val="es-MX"/>
        </w:rPr>
        <w:t>Sexta.-</w:t>
      </w:r>
      <w:proofErr w:type="gramEnd"/>
      <w:r w:rsidRPr="00E741FB">
        <w:rPr>
          <w:rFonts w:ascii="Calibri" w:hAnsi="Calibri" w:cs="Calibri"/>
          <w:b/>
          <w:sz w:val="22"/>
          <w:szCs w:val="22"/>
          <w:lang w:val="es-MX"/>
        </w:rPr>
        <w:t xml:space="preserve"> </w:t>
      </w:r>
      <w:r w:rsidR="008B7CA3" w:rsidRPr="00E741FB">
        <w:rPr>
          <w:rFonts w:ascii="Calibri" w:hAnsi="Calibri" w:cs="Calibri"/>
          <w:sz w:val="22"/>
          <w:szCs w:val="22"/>
          <w:lang w:val="es-ES"/>
        </w:rPr>
        <w:t>La aceptación o renuncia de la realización del curso</w:t>
      </w:r>
      <w:r w:rsidR="00CF173E">
        <w:rPr>
          <w:rFonts w:ascii="Calibri" w:hAnsi="Calibri" w:cs="Calibri"/>
          <w:sz w:val="22"/>
          <w:szCs w:val="22"/>
          <w:lang w:val="es-ES"/>
        </w:rPr>
        <w:t xml:space="preserve">, </w:t>
      </w:r>
      <w:r w:rsidR="00CF173E" w:rsidRPr="00AD4B9F">
        <w:rPr>
          <w:rFonts w:ascii="Calibri" w:hAnsi="Calibri" w:cs="Calibri"/>
          <w:color w:val="0070C0"/>
          <w:sz w:val="22"/>
          <w:szCs w:val="22"/>
          <w:lang w:val="es-MX"/>
        </w:rPr>
        <w:t xml:space="preserve">aunque </w:t>
      </w:r>
      <w:r w:rsidR="00CB4F84">
        <w:rPr>
          <w:rFonts w:ascii="Calibri" w:hAnsi="Calibri" w:cs="Calibri"/>
          <w:color w:val="0070C0"/>
          <w:sz w:val="22"/>
          <w:szCs w:val="22"/>
          <w:lang w:val="es-MX"/>
        </w:rPr>
        <w:t>éste</w:t>
      </w:r>
      <w:r w:rsidR="00CF173E" w:rsidRPr="00AD4B9F">
        <w:rPr>
          <w:rFonts w:ascii="Calibri" w:hAnsi="Calibri" w:cs="Calibri"/>
          <w:color w:val="0070C0"/>
          <w:sz w:val="22"/>
          <w:szCs w:val="22"/>
          <w:lang w:val="es-MX"/>
        </w:rPr>
        <w:t xml:space="preserve"> sea en modalidad online</w:t>
      </w:r>
      <w:r w:rsidR="00CB4F84">
        <w:rPr>
          <w:rFonts w:ascii="Calibri" w:hAnsi="Calibri" w:cs="Calibri"/>
          <w:color w:val="0070C0"/>
          <w:sz w:val="22"/>
          <w:szCs w:val="22"/>
          <w:lang w:val="es-MX"/>
        </w:rPr>
        <w:t>,</w:t>
      </w:r>
      <w:r w:rsidR="008B7CA3" w:rsidRPr="00E741FB">
        <w:rPr>
          <w:rFonts w:ascii="Calibri" w:hAnsi="Calibri" w:cs="Calibri"/>
          <w:sz w:val="22"/>
          <w:szCs w:val="22"/>
          <w:lang w:val="es-ES"/>
        </w:rPr>
        <w:t xml:space="preserve"> se deberá comunicar mediante correo electrónico a </w:t>
      </w:r>
      <w:hyperlink r:id="rId7" w:history="1">
        <w:r w:rsidR="008B7CA3" w:rsidRPr="00E741FB">
          <w:rPr>
            <w:rStyle w:val="Hipervnculo"/>
            <w:rFonts w:ascii="Calibri" w:hAnsi="Calibri" w:cs="Calibri"/>
            <w:color w:val="auto"/>
            <w:sz w:val="22"/>
            <w:szCs w:val="22"/>
            <w:lang w:val="es-ES"/>
          </w:rPr>
          <w:t>forpas@unex.es</w:t>
        </w:r>
      </w:hyperlink>
      <w:r w:rsidR="008B7CA3" w:rsidRPr="00E741FB">
        <w:rPr>
          <w:rFonts w:ascii="Calibri" w:hAnsi="Calibri" w:cs="Calibri"/>
          <w:sz w:val="22"/>
          <w:szCs w:val="22"/>
          <w:lang w:val="es-ES"/>
        </w:rPr>
        <w:t xml:space="preserve">, </w:t>
      </w:r>
      <w:r w:rsidR="008B7CA3" w:rsidRPr="00AD4B9F">
        <w:rPr>
          <w:rFonts w:ascii="Calibri" w:hAnsi="Calibri" w:cs="Calibri"/>
          <w:color w:val="000000" w:themeColor="text1"/>
          <w:sz w:val="22"/>
          <w:szCs w:val="22"/>
          <w:lang w:val="es-MX"/>
        </w:rPr>
        <w:t xml:space="preserve">tan pronto como se conozca la posibilidad o imposibilidad de asistencia, o en el plazo propuesto por la Sección de Formación del PAS, con el objeto de posibilitar las sustituciones. </w:t>
      </w:r>
      <w:r w:rsidR="008B7CA3" w:rsidRPr="00AD4B9F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Este correo </w:t>
      </w:r>
      <w:r w:rsidR="008B7CA3" w:rsidRPr="00AD4B9F">
        <w:rPr>
          <w:rFonts w:ascii="Calibri" w:hAnsi="Calibri" w:cs="Calibri"/>
          <w:b/>
          <w:color w:val="000000" w:themeColor="text1"/>
          <w:sz w:val="22"/>
          <w:szCs w:val="22"/>
          <w:lang w:val="es-ES"/>
        </w:rPr>
        <w:t>deberá de ir acompañado del permiso o la denegación para la realización del curso firmado por su superior inmediato</w:t>
      </w:r>
      <w:r w:rsidR="004B3350">
        <w:rPr>
          <w:rFonts w:ascii="Calibri" w:hAnsi="Calibri" w:cs="Calibri"/>
          <w:sz w:val="22"/>
          <w:szCs w:val="22"/>
          <w:lang w:val="es-ES"/>
        </w:rPr>
        <w:t xml:space="preserve">, </w:t>
      </w:r>
      <w:r w:rsidR="004B3350">
        <w:rPr>
          <w:rFonts w:ascii="Calibri" w:hAnsi="Calibri" w:cs="Calibri"/>
          <w:color w:val="2E74B5" w:themeColor="accent1" w:themeShade="BF"/>
          <w:sz w:val="22"/>
          <w:szCs w:val="22"/>
          <w:lang w:val="es-ES"/>
        </w:rPr>
        <w:t>al</w:t>
      </w:r>
      <w:r w:rsidR="002031D8" w:rsidRPr="00F7434E">
        <w:rPr>
          <w:rFonts w:ascii="Calibri" w:hAnsi="Calibri" w:cs="Calibri"/>
          <w:color w:val="2E74B5" w:themeColor="accent1" w:themeShade="BF"/>
          <w:sz w:val="22"/>
          <w:szCs w:val="22"/>
          <w:lang w:val="es-ES"/>
        </w:rPr>
        <w:t xml:space="preserve"> menos con 4 días de antelación del comienzo del curso.</w:t>
      </w:r>
    </w:p>
    <w:p w14:paraId="3875E643" w14:textId="77777777" w:rsidR="00E741FB" w:rsidRDefault="00E741FB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14:paraId="049893AF" w14:textId="55FDF724" w:rsidR="00DE2165" w:rsidRDefault="00E879C9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>Asimismo,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 se faculta a la Sección de Formación del PAS</w:t>
      </w:r>
      <w:r w:rsidR="00FF3140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para excluir de las acciones formativas a quienes en el momento de su celebración no tengan relación contractual con la Universidad de Extremadura.</w:t>
      </w:r>
    </w:p>
    <w:p w14:paraId="6C665AB7" w14:textId="77777777" w:rsidR="002031D8" w:rsidRDefault="002031D8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14:paraId="2DB31CE3" w14:textId="41ABB836" w:rsidR="002031D8" w:rsidRDefault="002031D8" w:rsidP="00E741FB">
      <w:pPr>
        <w:jc w:val="both"/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</w:pPr>
      <w:r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S</w:t>
      </w:r>
      <w:r w:rsidR="00F7434E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i por necesidades </w:t>
      </w:r>
      <w:r w:rsidR="00A47AE6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de un Servicio fuese necesario </w:t>
      </w:r>
      <w:r w:rsidR="00F7434E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que </w:t>
      </w:r>
      <w:r w:rsidR="00A47AE6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alguna de las personas</w:t>
      </w:r>
      <w:r w:rsidR="00F7434E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adscrit</w:t>
      </w:r>
      <w:r w:rsidR="00A47AE6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as</w:t>
      </w:r>
      <w:r w:rsidR="00F7434E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al mismo realizara alguno de los cursos de formación, aun cuando no lo hubiera solicitado, el responsable </w:t>
      </w:r>
      <w:proofErr w:type="gramStart"/>
      <w:r w:rsidR="00F7434E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del mismo</w:t>
      </w:r>
      <w:proofErr w:type="gramEnd"/>
      <w:r w:rsidR="00F7434E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deberá cursar una solicitud, por escrito, al Sr. Vicegerente de Recursos Humanos, </w:t>
      </w:r>
      <w:r w:rsidR="00A47AE6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indicando la persona y el motivo por el cual es necesario </w:t>
      </w:r>
      <w:r w:rsidR="00F61D07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que </w:t>
      </w:r>
      <w:r w:rsidR="00A47AE6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realice el curso</w:t>
      </w:r>
      <w:r w:rsidR="00F7434E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. Será este </w:t>
      </w:r>
      <w:r w:rsid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último </w:t>
      </w:r>
      <w:r w:rsidR="00F7434E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el encargado de comunicar a la Sección de Formación </w:t>
      </w:r>
      <w:r w:rsid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del PAS </w:t>
      </w:r>
      <w:r w:rsidR="00F7434E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su inclusión</w:t>
      </w:r>
      <w:r w:rsidR="00A47AE6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, o no,</w:t>
      </w:r>
      <w:r w:rsidR="00F7434E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en el </w:t>
      </w:r>
      <w:r w:rsidR="00A47AE6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mismo.</w:t>
      </w:r>
    </w:p>
    <w:p w14:paraId="4B67F46D" w14:textId="77777777" w:rsidR="00A47AE6" w:rsidRDefault="00A47AE6" w:rsidP="00E741FB">
      <w:pPr>
        <w:jc w:val="both"/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</w:pPr>
    </w:p>
    <w:p w14:paraId="2B45A170" w14:textId="77777777" w:rsidR="00196018" w:rsidRDefault="00196018" w:rsidP="00E741FB">
      <w:pPr>
        <w:jc w:val="both"/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</w:pPr>
    </w:p>
    <w:p w14:paraId="6E18C9C5" w14:textId="5DE16752" w:rsidR="00A47AE6" w:rsidRPr="00F7434E" w:rsidRDefault="00A47AE6" w:rsidP="00E741FB">
      <w:pPr>
        <w:jc w:val="both"/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</w:pPr>
      <w:r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Si fuera un grupo de personas de un mismo Servicio las que necesitaran formación específica en una materia determinada</w:t>
      </w:r>
      <w:r w:rsidR="00EC64DB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,</w:t>
      </w:r>
      <w:r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se solicitar</w:t>
      </w:r>
      <w:r w:rsidR="00EC64DB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á</w:t>
      </w:r>
      <w:r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</w:t>
      </w:r>
      <w:r w:rsidRPr="00C42AC5">
        <w:rPr>
          <w:rFonts w:ascii="Calibri" w:hAnsi="Calibri" w:cs="Calibri"/>
          <w:bCs/>
          <w:color w:val="2E74B5" w:themeColor="accent1" w:themeShade="BF"/>
          <w:sz w:val="22"/>
          <w:szCs w:val="22"/>
          <w:lang w:val="es-MX"/>
        </w:rPr>
        <w:t xml:space="preserve">de oficio </w:t>
      </w:r>
      <w:r w:rsidR="00EC64DB" w:rsidRPr="00C42AC5">
        <w:rPr>
          <w:rFonts w:ascii="Calibri" w:hAnsi="Calibri" w:cs="Calibri"/>
          <w:bCs/>
          <w:color w:val="2E74B5" w:themeColor="accent1" w:themeShade="BF"/>
          <w:sz w:val="22"/>
          <w:szCs w:val="22"/>
          <w:lang w:val="es-MX"/>
        </w:rPr>
        <w:t>dicha</w:t>
      </w:r>
      <w:r w:rsidR="00EC64DB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circunstancia </w:t>
      </w:r>
      <w:r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a la Sección de Formación para estudiar la posibilidad de realizarlo.</w:t>
      </w:r>
    </w:p>
    <w:p w14:paraId="4801720B" w14:textId="77777777" w:rsidR="00DE2165" w:rsidRPr="00F7434E" w:rsidRDefault="00DE2165" w:rsidP="00E741FB">
      <w:pPr>
        <w:jc w:val="both"/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</w:pPr>
    </w:p>
    <w:p w14:paraId="7A80E3FD" w14:textId="23D75BE2" w:rsidR="00DE2165" w:rsidRPr="00F7434E" w:rsidRDefault="00DF4CC3" w:rsidP="00E741FB">
      <w:pPr>
        <w:jc w:val="both"/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</w:pPr>
      <w:proofErr w:type="gramStart"/>
      <w:r w:rsidRPr="00E741FB">
        <w:rPr>
          <w:rFonts w:ascii="Calibri" w:hAnsi="Calibri" w:cs="Calibri"/>
          <w:b/>
          <w:sz w:val="22"/>
          <w:szCs w:val="22"/>
          <w:lang w:val="es-MX"/>
        </w:rPr>
        <w:t>Séptima.-</w:t>
      </w:r>
      <w:proofErr w:type="gramEnd"/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EF5ABC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Cuando se trate de c</w:t>
      </w:r>
      <w:r w:rsidR="002031D8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ursos online</w:t>
      </w:r>
      <w:r w:rsidR="00EF5FF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que </w:t>
      </w:r>
      <w:r w:rsidR="00EC64DB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conlleven </w:t>
      </w:r>
      <w:r w:rsidR="00DE2165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pruebas de evaluación</w:t>
      </w:r>
      <w:r w:rsidR="00EF5FF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, éstas s</w:t>
      </w:r>
      <w:r w:rsidR="002031D8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e</w:t>
      </w:r>
      <w:r w:rsidR="00EF5FF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rán e</w:t>
      </w:r>
      <w:r w:rsidR="002031D8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stablec</w:t>
      </w:r>
      <w:r w:rsidR="00EF5FF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idas por</w:t>
      </w:r>
      <w:r w:rsidR="002031D8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el profesorado</w:t>
      </w:r>
      <w:r w:rsidR="00DE2165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. En dicho caso</w:t>
      </w:r>
      <w:r w:rsidR="00AC74F5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,</w:t>
      </w:r>
      <w:r w:rsidR="00DE2165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los </w:t>
      </w:r>
      <w:r w:rsidR="00EC64DB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certificados</w:t>
      </w:r>
      <w:r w:rsidR="00DE2165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expedidos </w:t>
      </w:r>
      <w:r w:rsidR="00EC64DB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podrán </w:t>
      </w:r>
      <w:r w:rsidR="00DE2165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indicar este extremo, con expresión </w:t>
      </w:r>
      <w:r w:rsidR="00A47AE6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de</w:t>
      </w:r>
      <w:r w:rsidR="00DE2165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</w:t>
      </w:r>
      <w:r w:rsidR="002031D8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APTO o NO APTO</w:t>
      </w:r>
      <w:r w:rsidR="00DE2165" w:rsidRPr="00F7434E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.</w:t>
      </w:r>
    </w:p>
    <w:p w14:paraId="3DB75280" w14:textId="77777777" w:rsidR="00DE2165" w:rsidRPr="00F7434E" w:rsidRDefault="00DE2165" w:rsidP="00E741FB">
      <w:pPr>
        <w:jc w:val="both"/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</w:pPr>
    </w:p>
    <w:p w14:paraId="3CE4E06D" w14:textId="7857C909" w:rsidR="00DE2165" w:rsidRDefault="007162EB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>Del mismo modo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, </w:t>
      </w:r>
      <w:r w:rsidR="00E7718B" w:rsidRPr="00E741FB">
        <w:rPr>
          <w:rFonts w:ascii="Calibri" w:hAnsi="Calibri" w:cs="Calibri"/>
          <w:sz w:val="22"/>
          <w:szCs w:val="22"/>
          <w:lang w:val="es-MX"/>
        </w:rPr>
        <w:t xml:space="preserve">para considerar finalizado </w:t>
      </w:r>
      <w:r w:rsidR="0005541E">
        <w:rPr>
          <w:rFonts w:ascii="Calibri" w:hAnsi="Calibri" w:cs="Calibri"/>
          <w:sz w:val="22"/>
          <w:szCs w:val="22"/>
          <w:lang w:val="es-MX"/>
        </w:rPr>
        <w:t>un</w:t>
      </w:r>
      <w:r w:rsidR="00E7718B" w:rsidRPr="00E741FB">
        <w:rPr>
          <w:rFonts w:ascii="Calibri" w:hAnsi="Calibri" w:cs="Calibri"/>
          <w:sz w:val="22"/>
          <w:szCs w:val="22"/>
          <w:lang w:val="es-MX"/>
        </w:rPr>
        <w:t xml:space="preserve"> curso</w:t>
      </w:r>
      <w:r w:rsidR="0005541E">
        <w:rPr>
          <w:rFonts w:ascii="Calibri" w:hAnsi="Calibri" w:cs="Calibri"/>
          <w:sz w:val="22"/>
          <w:szCs w:val="22"/>
          <w:lang w:val="es-MX"/>
        </w:rPr>
        <w:t xml:space="preserve"> (sea presencial o no)</w:t>
      </w:r>
      <w:r w:rsidR="0019577C">
        <w:rPr>
          <w:rFonts w:ascii="Calibri" w:hAnsi="Calibri" w:cs="Calibri"/>
          <w:sz w:val="22"/>
          <w:szCs w:val="22"/>
          <w:lang w:val="es-MX"/>
        </w:rPr>
        <w:t>,</w:t>
      </w:r>
      <w:r w:rsidR="00E7718B" w:rsidRPr="00E741FB">
        <w:rPr>
          <w:rFonts w:ascii="Calibri" w:hAnsi="Calibri" w:cs="Calibri"/>
          <w:sz w:val="22"/>
          <w:szCs w:val="22"/>
          <w:lang w:val="es-MX"/>
        </w:rPr>
        <w:t xml:space="preserve"> los asistentes deberán completar </w:t>
      </w:r>
      <w:r w:rsidR="00D96727">
        <w:rPr>
          <w:rFonts w:ascii="Calibri" w:hAnsi="Calibri" w:cs="Calibri"/>
          <w:sz w:val="22"/>
          <w:szCs w:val="22"/>
          <w:lang w:val="es-MX"/>
        </w:rPr>
        <w:t>un</w:t>
      </w:r>
      <w:r w:rsidR="00E7718B" w:rsidRPr="00E741FB">
        <w:rPr>
          <w:rFonts w:ascii="Calibri" w:hAnsi="Calibri" w:cs="Calibri"/>
          <w:sz w:val="22"/>
          <w:szCs w:val="22"/>
          <w:lang w:val="es-MX"/>
        </w:rPr>
        <w:t xml:space="preserve"> cuestionario de evaluac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ión </w:t>
      </w:r>
      <w:proofErr w:type="gramStart"/>
      <w:r w:rsidR="00DE2165" w:rsidRPr="00E741FB">
        <w:rPr>
          <w:rFonts w:ascii="Calibri" w:hAnsi="Calibri" w:cs="Calibri"/>
          <w:sz w:val="22"/>
          <w:szCs w:val="22"/>
          <w:lang w:val="es-MX"/>
        </w:rPr>
        <w:t>del mismo</w:t>
      </w:r>
      <w:proofErr w:type="gramEnd"/>
      <w:r w:rsidR="00E7718B" w:rsidRPr="00E741FB">
        <w:rPr>
          <w:rFonts w:ascii="Calibri" w:hAnsi="Calibri" w:cs="Calibri"/>
          <w:sz w:val="22"/>
          <w:szCs w:val="22"/>
          <w:lang w:val="es-MX"/>
        </w:rPr>
        <w:t>,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 respecto a la organización, contenido, material utilizado, profesorado y cuantos otros aspectos se consideren convenientes en aras de una mayor eficacia futura</w:t>
      </w:r>
      <w:r w:rsidR="00935D86">
        <w:rPr>
          <w:rFonts w:ascii="Calibri" w:hAnsi="Calibri" w:cs="Calibri"/>
          <w:sz w:val="22"/>
          <w:szCs w:val="22"/>
          <w:lang w:val="es-MX"/>
        </w:rPr>
        <w:t xml:space="preserve"> en la formación.</w:t>
      </w:r>
    </w:p>
    <w:p w14:paraId="33828CF7" w14:textId="77777777" w:rsidR="00736CAF" w:rsidRDefault="00736CAF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14:paraId="3266B1A1" w14:textId="044CD61E" w:rsidR="00736CAF" w:rsidRPr="00736CAF" w:rsidRDefault="00736CAF" w:rsidP="00E741FB">
      <w:pPr>
        <w:jc w:val="both"/>
        <w:rPr>
          <w:rFonts w:ascii="Calibri" w:hAnsi="Calibri" w:cs="Calibri"/>
          <w:color w:val="0070C0"/>
          <w:sz w:val="22"/>
          <w:szCs w:val="22"/>
          <w:lang w:val="es-MX"/>
        </w:rPr>
      </w:pPr>
      <w:proofErr w:type="gramStart"/>
      <w:r w:rsidRPr="00736CAF">
        <w:rPr>
          <w:rFonts w:ascii="Calibri" w:hAnsi="Calibri" w:cs="Calibri"/>
          <w:b/>
          <w:sz w:val="22"/>
          <w:szCs w:val="22"/>
          <w:lang w:val="es-MX"/>
        </w:rPr>
        <w:t>Octava</w:t>
      </w:r>
      <w:r w:rsidRPr="00736CAF">
        <w:rPr>
          <w:rFonts w:ascii="Calibri" w:hAnsi="Calibri" w:cs="Calibri"/>
          <w:b/>
          <w:color w:val="0070C0"/>
          <w:sz w:val="22"/>
          <w:szCs w:val="22"/>
          <w:lang w:val="es-MX"/>
        </w:rPr>
        <w:t>.-</w:t>
      </w:r>
      <w:proofErr w:type="gramEnd"/>
      <w:r w:rsidRPr="00736CAF">
        <w:rPr>
          <w:rFonts w:ascii="Calibri" w:hAnsi="Calibri" w:cs="Calibri"/>
          <w:b/>
          <w:color w:val="0070C0"/>
          <w:sz w:val="22"/>
          <w:szCs w:val="22"/>
          <w:lang w:val="es-MX"/>
        </w:rPr>
        <w:t xml:space="preserve"> </w:t>
      </w:r>
      <w:r w:rsidR="00935D86">
        <w:rPr>
          <w:rFonts w:ascii="Calibri" w:hAnsi="Calibri" w:cs="Calibri"/>
          <w:color w:val="0070C0"/>
          <w:sz w:val="22"/>
          <w:szCs w:val="22"/>
          <w:lang w:val="es-MX"/>
        </w:rPr>
        <w:t xml:space="preserve">Debido a que </w:t>
      </w:r>
      <w:r w:rsidRPr="00736CAF">
        <w:rPr>
          <w:rFonts w:ascii="Calibri" w:hAnsi="Calibri" w:cs="Calibri"/>
          <w:color w:val="0070C0"/>
          <w:sz w:val="22"/>
          <w:szCs w:val="22"/>
          <w:lang w:val="es-MX"/>
        </w:rPr>
        <w:t xml:space="preserve">la situación actual de la pandemia </w:t>
      </w:r>
      <w:r w:rsidR="004D73EC">
        <w:rPr>
          <w:rFonts w:ascii="Calibri" w:hAnsi="Calibri" w:cs="Calibri"/>
          <w:color w:val="0070C0"/>
          <w:sz w:val="22"/>
          <w:szCs w:val="22"/>
          <w:lang w:val="es-MX"/>
        </w:rPr>
        <w:t>ha mejorado bastante</w:t>
      </w:r>
      <w:r w:rsidRPr="00736CAF">
        <w:rPr>
          <w:rFonts w:ascii="Calibri" w:hAnsi="Calibri" w:cs="Calibri"/>
          <w:color w:val="0070C0"/>
          <w:sz w:val="22"/>
          <w:szCs w:val="22"/>
          <w:lang w:val="es-MX"/>
        </w:rPr>
        <w:t xml:space="preserve">, </w:t>
      </w:r>
      <w:r w:rsidR="00AB2782">
        <w:rPr>
          <w:rFonts w:ascii="Calibri" w:hAnsi="Calibri" w:cs="Calibri"/>
          <w:color w:val="0070C0"/>
          <w:sz w:val="22"/>
          <w:szCs w:val="22"/>
          <w:lang w:val="es-MX"/>
        </w:rPr>
        <w:t>se vuelven a convocar cursos de formación</w:t>
      </w:r>
      <w:r w:rsidRPr="00736CAF">
        <w:rPr>
          <w:rFonts w:ascii="Calibri" w:hAnsi="Calibri" w:cs="Calibri"/>
          <w:color w:val="0070C0"/>
          <w:sz w:val="22"/>
          <w:szCs w:val="22"/>
          <w:lang w:val="es-MX"/>
        </w:rPr>
        <w:t xml:space="preserve"> en modalidad presencial, </w:t>
      </w:r>
      <w:r w:rsidR="00AB2782">
        <w:rPr>
          <w:rFonts w:ascii="Calibri" w:hAnsi="Calibri" w:cs="Calibri"/>
          <w:color w:val="0070C0"/>
          <w:sz w:val="22"/>
          <w:szCs w:val="22"/>
          <w:lang w:val="es-MX"/>
        </w:rPr>
        <w:t xml:space="preserve">siendo </w:t>
      </w:r>
      <w:r w:rsidRPr="00736CAF">
        <w:rPr>
          <w:rFonts w:ascii="Calibri" w:hAnsi="Calibri" w:cs="Calibri"/>
          <w:color w:val="0070C0"/>
          <w:sz w:val="22"/>
          <w:szCs w:val="22"/>
          <w:lang w:val="es-MX"/>
        </w:rPr>
        <w:t xml:space="preserve">la normativa de los </w:t>
      </w:r>
      <w:r w:rsidR="00AB2782">
        <w:rPr>
          <w:rFonts w:ascii="Calibri" w:hAnsi="Calibri" w:cs="Calibri"/>
          <w:color w:val="0070C0"/>
          <w:sz w:val="22"/>
          <w:szCs w:val="22"/>
          <w:lang w:val="es-MX"/>
        </w:rPr>
        <w:t>mismos</w:t>
      </w:r>
      <w:r w:rsidRPr="00736CAF">
        <w:rPr>
          <w:rFonts w:ascii="Calibri" w:hAnsi="Calibri" w:cs="Calibri"/>
          <w:color w:val="0070C0"/>
          <w:sz w:val="22"/>
          <w:szCs w:val="22"/>
          <w:lang w:val="es-MX"/>
        </w:rPr>
        <w:t xml:space="preserve"> la misma que consta en la resolución de la Gerencia para los cursos de Formación del PAS 2019, incluida en la página web de Formación del PAS.</w:t>
      </w:r>
    </w:p>
    <w:p w14:paraId="28B9356C" w14:textId="77777777" w:rsidR="00DE2165" w:rsidRDefault="00DE2165" w:rsidP="00E741FB">
      <w:pPr>
        <w:jc w:val="both"/>
        <w:rPr>
          <w:rFonts w:ascii="Calibri" w:hAnsi="Calibri" w:cs="Calibri"/>
          <w:strike/>
          <w:color w:val="FF0000"/>
          <w:sz w:val="22"/>
          <w:szCs w:val="22"/>
          <w:lang w:val="es-MX"/>
        </w:rPr>
      </w:pPr>
    </w:p>
    <w:p w14:paraId="64433218" w14:textId="6C7C0193" w:rsidR="00736CAF" w:rsidRDefault="00736CAF" w:rsidP="00E741FB">
      <w:pPr>
        <w:jc w:val="both"/>
        <w:rPr>
          <w:rFonts w:ascii="Calibri" w:hAnsi="Calibri" w:cs="Calibri"/>
          <w:color w:val="0070C0"/>
          <w:sz w:val="22"/>
          <w:szCs w:val="22"/>
          <w:lang w:val="es-MX"/>
        </w:rPr>
      </w:pPr>
      <w:r w:rsidRPr="00736CAF">
        <w:rPr>
          <w:rFonts w:ascii="Calibri" w:hAnsi="Calibri" w:cs="Calibri"/>
          <w:b/>
          <w:sz w:val="22"/>
          <w:szCs w:val="22"/>
          <w:lang w:val="es-MX"/>
        </w:rPr>
        <w:t>Novena.-</w:t>
      </w:r>
      <w:r w:rsidRPr="00736CAF">
        <w:rPr>
          <w:rFonts w:ascii="Calibri" w:hAnsi="Calibri" w:cs="Calibri"/>
          <w:b/>
          <w:color w:val="0070C0"/>
          <w:sz w:val="22"/>
          <w:szCs w:val="22"/>
          <w:lang w:val="es-MX"/>
        </w:rPr>
        <w:t>.</w:t>
      </w:r>
      <w:r w:rsidRPr="00736CAF">
        <w:rPr>
          <w:rFonts w:ascii="Calibri" w:hAnsi="Calibri" w:cs="Calibri"/>
          <w:color w:val="0070C0"/>
          <w:sz w:val="22"/>
          <w:szCs w:val="22"/>
          <w:lang w:val="es-MX"/>
        </w:rPr>
        <w:t xml:space="preserve"> A partir de los cursos impartidos en 2020</w:t>
      </w:r>
      <w:r w:rsidR="00D672ED">
        <w:rPr>
          <w:rFonts w:ascii="Calibri" w:hAnsi="Calibri" w:cs="Calibri"/>
          <w:color w:val="0070C0"/>
          <w:sz w:val="22"/>
          <w:szCs w:val="22"/>
          <w:lang w:val="es-MX"/>
        </w:rPr>
        <w:t>,</w:t>
      </w:r>
      <w:r w:rsidRPr="00736CAF">
        <w:rPr>
          <w:rFonts w:ascii="Calibri" w:hAnsi="Calibri" w:cs="Calibri"/>
          <w:color w:val="0070C0"/>
          <w:sz w:val="22"/>
          <w:szCs w:val="22"/>
          <w:lang w:val="es-MX"/>
        </w:rPr>
        <w:t xml:space="preserve"> </w:t>
      </w:r>
      <w:r w:rsidR="006063A6">
        <w:rPr>
          <w:rFonts w:ascii="Calibri" w:hAnsi="Calibri" w:cs="Calibri"/>
          <w:color w:val="0070C0"/>
          <w:sz w:val="22"/>
          <w:szCs w:val="22"/>
          <w:lang w:val="es-MX"/>
        </w:rPr>
        <w:t xml:space="preserve">todos </w:t>
      </w:r>
      <w:r w:rsidRPr="00736CAF">
        <w:rPr>
          <w:rFonts w:ascii="Calibri" w:hAnsi="Calibri" w:cs="Calibri"/>
          <w:color w:val="0070C0"/>
          <w:sz w:val="22"/>
          <w:szCs w:val="22"/>
          <w:lang w:val="es-MX"/>
        </w:rPr>
        <w:t>los diplomas se emitirán en</w:t>
      </w:r>
      <w:r w:rsidR="002C4ADA">
        <w:rPr>
          <w:rFonts w:ascii="Calibri" w:hAnsi="Calibri" w:cs="Calibri"/>
          <w:color w:val="0070C0"/>
          <w:sz w:val="22"/>
          <w:szCs w:val="22"/>
          <w:lang w:val="es-MX"/>
        </w:rPr>
        <w:t xml:space="preserve"> formato</w:t>
      </w:r>
      <w:r w:rsidRPr="00736CAF">
        <w:rPr>
          <w:rFonts w:ascii="Calibri" w:hAnsi="Calibri" w:cs="Calibri"/>
          <w:color w:val="0070C0"/>
          <w:sz w:val="22"/>
          <w:szCs w:val="22"/>
          <w:lang w:val="es-MX"/>
        </w:rPr>
        <w:t xml:space="preserve"> PDF a cada alumno</w:t>
      </w:r>
      <w:r w:rsidR="0099281F">
        <w:rPr>
          <w:rFonts w:ascii="Calibri" w:hAnsi="Calibri" w:cs="Calibri"/>
          <w:color w:val="0070C0"/>
          <w:sz w:val="22"/>
          <w:szCs w:val="22"/>
          <w:lang w:val="es-MX"/>
        </w:rPr>
        <w:t>,</w:t>
      </w:r>
      <w:r w:rsidRPr="00736CAF">
        <w:rPr>
          <w:rFonts w:ascii="Calibri" w:hAnsi="Calibri" w:cs="Calibri"/>
          <w:color w:val="0070C0"/>
          <w:sz w:val="22"/>
          <w:szCs w:val="22"/>
          <w:lang w:val="es-MX"/>
        </w:rPr>
        <w:t xml:space="preserve"> firmado</w:t>
      </w:r>
      <w:r w:rsidR="0099281F">
        <w:rPr>
          <w:rFonts w:ascii="Calibri" w:hAnsi="Calibri" w:cs="Calibri"/>
          <w:color w:val="0070C0"/>
          <w:sz w:val="22"/>
          <w:szCs w:val="22"/>
          <w:lang w:val="es-MX"/>
        </w:rPr>
        <w:t>s</w:t>
      </w:r>
      <w:r w:rsidRPr="00736CAF">
        <w:rPr>
          <w:rFonts w:ascii="Calibri" w:hAnsi="Calibri" w:cs="Calibri"/>
          <w:color w:val="0070C0"/>
          <w:sz w:val="22"/>
          <w:szCs w:val="22"/>
          <w:lang w:val="es-MX"/>
        </w:rPr>
        <w:t xml:space="preserve"> de forma electrónica</w:t>
      </w:r>
      <w:r>
        <w:rPr>
          <w:rFonts w:ascii="Calibri" w:hAnsi="Calibri" w:cs="Calibri"/>
          <w:color w:val="0070C0"/>
          <w:sz w:val="22"/>
          <w:szCs w:val="22"/>
          <w:lang w:val="es-MX"/>
        </w:rPr>
        <w:t xml:space="preserve"> por el Sr. Gerente y </w:t>
      </w:r>
      <w:r w:rsidR="00AB2782">
        <w:rPr>
          <w:rFonts w:ascii="Calibri" w:hAnsi="Calibri" w:cs="Calibri"/>
          <w:color w:val="0070C0"/>
          <w:sz w:val="22"/>
          <w:szCs w:val="22"/>
          <w:lang w:val="es-MX"/>
        </w:rPr>
        <w:t>el</w:t>
      </w:r>
      <w:r>
        <w:rPr>
          <w:rFonts w:ascii="Calibri" w:hAnsi="Calibri" w:cs="Calibri"/>
          <w:color w:val="0070C0"/>
          <w:sz w:val="22"/>
          <w:szCs w:val="22"/>
          <w:lang w:val="es-MX"/>
        </w:rPr>
        <w:t xml:space="preserve"> </w:t>
      </w:r>
      <w:proofErr w:type="gramStart"/>
      <w:r w:rsidR="0099281F">
        <w:rPr>
          <w:rFonts w:ascii="Calibri" w:hAnsi="Calibri" w:cs="Calibri"/>
          <w:color w:val="0070C0"/>
          <w:sz w:val="22"/>
          <w:szCs w:val="22"/>
          <w:lang w:val="es-MX"/>
        </w:rPr>
        <w:t>J</w:t>
      </w:r>
      <w:r>
        <w:rPr>
          <w:rFonts w:ascii="Calibri" w:hAnsi="Calibri" w:cs="Calibri"/>
          <w:color w:val="0070C0"/>
          <w:sz w:val="22"/>
          <w:szCs w:val="22"/>
          <w:lang w:val="es-MX"/>
        </w:rPr>
        <w:t>ef</w:t>
      </w:r>
      <w:r w:rsidR="00AB2782">
        <w:rPr>
          <w:rFonts w:ascii="Calibri" w:hAnsi="Calibri" w:cs="Calibri"/>
          <w:color w:val="0070C0"/>
          <w:sz w:val="22"/>
          <w:szCs w:val="22"/>
          <w:lang w:val="es-MX"/>
        </w:rPr>
        <w:t>e</w:t>
      </w:r>
      <w:proofErr w:type="gramEnd"/>
      <w:r>
        <w:rPr>
          <w:rFonts w:ascii="Calibri" w:hAnsi="Calibri" w:cs="Calibri"/>
          <w:color w:val="0070C0"/>
          <w:sz w:val="22"/>
          <w:szCs w:val="22"/>
          <w:lang w:val="es-MX"/>
        </w:rPr>
        <w:t xml:space="preserve"> de Sección de Formación del Personal de Administración y Servicios de la Universidad de Extremadura.</w:t>
      </w:r>
    </w:p>
    <w:p w14:paraId="00E5B5F6" w14:textId="77777777" w:rsidR="00736CAF" w:rsidRPr="00736CAF" w:rsidRDefault="00736CAF" w:rsidP="00E741FB">
      <w:pPr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58E442A2" w14:textId="77777777" w:rsidR="00DE2165" w:rsidRPr="00E741FB" w:rsidRDefault="00736CAF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  <w:proofErr w:type="gramStart"/>
      <w:r w:rsidRPr="00E741FB">
        <w:rPr>
          <w:rFonts w:ascii="Calibri" w:hAnsi="Calibri" w:cs="Calibri"/>
          <w:b/>
          <w:sz w:val="22"/>
          <w:szCs w:val="22"/>
          <w:lang w:val="es-MX"/>
        </w:rPr>
        <w:t>Décima</w:t>
      </w:r>
      <w:r w:rsidR="00DE2165" w:rsidRPr="00E741FB">
        <w:rPr>
          <w:rFonts w:ascii="Calibri" w:hAnsi="Calibri" w:cs="Calibri"/>
          <w:b/>
          <w:sz w:val="22"/>
          <w:szCs w:val="22"/>
          <w:lang w:val="es-MX"/>
        </w:rPr>
        <w:t>.-</w:t>
      </w:r>
      <w:proofErr w:type="gramEnd"/>
      <w:r w:rsidR="00DE2165" w:rsidRPr="00E741FB">
        <w:rPr>
          <w:rFonts w:ascii="Calibri" w:hAnsi="Calibri" w:cs="Calibri"/>
          <w:b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El Plan de Formación podrá ver incrementada su oferta en función de que se considere conveniente incorporar </w:t>
      </w:r>
      <w:r w:rsidR="007162EB" w:rsidRPr="00E741FB">
        <w:rPr>
          <w:rFonts w:ascii="Calibri" w:hAnsi="Calibri" w:cs="Calibri"/>
          <w:sz w:val="22"/>
          <w:szCs w:val="22"/>
          <w:lang w:val="es-MX"/>
        </w:rPr>
        <w:t>nueva</w:t>
      </w:r>
      <w:r w:rsidR="001B241A" w:rsidRPr="00E741FB">
        <w:rPr>
          <w:rFonts w:ascii="Calibri" w:hAnsi="Calibri" w:cs="Calibri"/>
          <w:sz w:val="22"/>
          <w:szCs w:val="22"/>
          <w:lang w:val="es-MX"/>
        </w:rPr>
        <w:t>s</w:t>
      </w:r>
      <w:r w:rsidR="007162EB" w:rsidRPr="00E741FB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acciones formativas para una mejor implantación o aplicación de la Oferta de Empleo </w:t>
      </w:r>
      <w:r w:rsidR="007162EB" w:rsidRPr="00E741FB">
        <w:rPr>
          <w:rFonts w:ascii="Calibri" w:hAnsi="Calibri" w:cs="Calibri"/>
          <w:sz w:val="22"/>
          <w:szCs w:val="22"/>
          <w:lang w:val="es-MX"/>
        </w:rPr>
        <w:t xml:space="preserve">Público </w:t>
      </w:r>
      <w:r w:rsidR="00C01626" w:rsidRPr="00E741FB">
        <w:rPr>
          <w:rFonts w:ascii="Calibri" w:hAnsi="Calibri" w:cs="Calibri"/>
          <w:sz w:val="22"/>
          <w:szCs w:val="22"/>
          <w:lang w:val="es-MX"/>
        </w:rPr>
        <w:t>de la UEX. Asi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>mismo</w:t>
      </w:r>
      <w:r w:rsidR="007162EB" w:rsidRPr="00E741FB">
        <w:rPr>
          <w:rFonts w:ascii="Calibri" w:hAnsi="Calibri" w:cs="Calibri"/>
          <w:sz w:val="22"/>
          <w:szCs w:val="22"/>
          <w:lang w:val="es-MX"/>
        </w:rPr>
        <w:t>,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 podrá prorrogarse o ampliarse en años sucesivos.</w:t>
      </w:r>
    </w:p>
    <w:p w14:paraId="47DD16AF" w14:textId="77777777" w:rsidR="00DE2165" w:rsidRDefault="00DE2165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14:paraId="52799DC3" w14:textId="77777777" w:rsidR="00DE2165" w:rsidRPr="00E741FB" w:rsidRDefault="00736CAF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  <w:proofErr w:type="gramStart"/>
      <w:r w:rsidRPr="00E741FB">
        <w:rPr>
          <w:rFonts w:ascii="Calibri" w:hAnsi="Calibri" w:cs="Calibri"/>
          <w:b/>
          <w:sz w:val="22"/>
          <w:szCs w:val="22"/>
          <w:lang w:val="es-MX"/>
        </w:rPr>
        <w:t>Undécima</w:t>
      </w:r>
      <w:r w:rsidR="00DF4CC3" w:rsidRPr="00E741FB">
        <w:rPr>
          <w:rFonts w:ascii="Calibri" w:hAnsi="Calibri" w:cs="Calibri"/>
          <w:b/>
          <w:sz w:val="22"/>
          <w:szCs w:val="22"/>
          <w:lang w:val="es-MX"/>
        </w:rPr>
        <w:t>.-</w:t>
      </w:r>
      <w:proofErr w:type="gramEnd"/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 La coordinación general del presente Plan de Formación corresponde a la Sección de Formación del PAS, quien junto con la Vicegerencia de Recursos Humanos </w:t>
      </w:r>
      <w:r w:rsidR="001B241A" w:rsidRPr="00E741FB">
        <w:rPr>
          <w:rFonts w:ascii="Calibri" w:hAnsi="Calibri" w:cs="Calibri"/>
          <w:sz w:val="22"/>
          <w:szCs w:val="22"/>
          <w:lang w:val="es-MX"/>
        </w:rPr>
        <w:t>resolverá y proveerá</w:t>
      </w:r>
      <w:r w:rsidR="00DE2165" w:rsidRPr="00E741FB">
        <w:rPr>
          <w:rFonts w:ascii="Calibri" w:hAnsi="Calibri" w:cs="Calibri"/>
          <w:sz w:val="22"/>
          <w:szCs w:val="22"/>
          <w:lang w:val="es-MX"/>
        </w:rPr>
        <w:t xml:space="preserve"> todo cuanto sea necesario con respecto al correcto desarrollo de las acciones formativas programadas, en cumplimiento de lo establecido en esta Resolución.</w:t>
      </w:r>
    </w:p>
    <w:p w14:paraId="1EA61144" w14:textId="77777777" w:rsidR="00536EBE" w:rsidRDefault="00536EBE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14:paraId="63F125DB" w14:textId="77777777" w:rsidR="00536EBE" w:rsidRDefault="00736CAF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  <w:proofErr w:type="gramStart"/>
      <w:r w:rsidRPr="00736CAF">
        <w:rPr>
          <w:rFonts w:ascii="Calibri" w:hAnsi="Calibri" w:cs="Calibri"/>
          <w:b/>
          <w:sz w:val="22"/>
          <w:szCs w:val="22"/>
          <w:lang w:val="es-MX"/>
        </w:rPr>
        <w:t>Duodécima.-</w:t>
      </w:r>
      <w:proofErr w:type="gramEnd"/>
      <w:r>
        <w:rPr>
          <w:rFonts w:ascii="Calibri" w:hAnsi="Calibri" w:cs="Calibri"/>
          <w:sz w:val="22"/>
          <w:szCs w:val="22"/>
          <w:lang w:val="es-MX"/>
        </w:rPr>
        <w:t xml:space="preserve"> </w:t>
      </w:r>
      <w:r w:rsidR="001B241A" w:rsidRPr="00E741FB">
        <w:rPr>
          <w:rFonts w:ascii="Calibri" w:hAnsi="Calibri" w:cs="Calibri"/>
          <w:sz w:val="22"/>
          <w:szCs w:val="22"/>
          <w:lang w:val="es-MX"/>
        </w:rPr>
        <w:t>Una vez aprobados los cursos en la Comisión de Formación y, posteriormente, en Mesa Negociadora, l</w:t>
      </w:r>
      <w:r w:rsidR="00536EBE" w:rsidRPr="00E741FB">
        <w:rPr>
          <w:rFonts w:ascii="Calibri" w:hAnsi="Calibri" w:cs="Calibri"/>
          <w:sz w:val="22"/>
          <w:szCs w:val="22"/>
          <w:lang w:val="es-MX"/>
        </w:rPr>
        <w:t xml:space="preserve">os cursos </w:t>
      </w:r>
      <w:r w:rsidR="001B241A" w:rsidRPr="00E741FB">
        <w:rPr>
          <w:rFonts w:ascii="Calibri" w:hAnsi="Calibri" w:cs="Calibri"/>
          <w:sz w:val="22"/>
          <w:szCs w:val="22"/>
          <w:lang w:val="es-MX"/>
        </w:rPr>
        <w:t xml:space="preserve">no podrán sufrir ningún tipo de modificación en cuanto a su contenido, lugar de impartición, duración u otra característica determinada. Si, </w:t>
      </w:r>
      <w:r w:rsidR="004B653C" w:rsidRPr="00E741FB">
        <w:rPr>
          <w:rFonts w:ascii="Calibri" w:hAnsi="Calibri" w:cs="Calibri"/>
          <w:sz w:val="22"/>
          <w:szCs w:val="22"/>
          <w:lang w:val="es-MX"/>
        </w:rPr>
        <w:t xml:space="preserve">excepcionalmente, </w:t>
      </w:r>
      <w:r w:rsidR="001B241A" w:rsidRPr="00E741FB">
        <w:rPr>
          <w:rFonts w:ascii="Calibri" w:hAnsi="Calibri" w:cs="Calibri"/>
          <w:sz w:val="22"/>
          <w:szCs w:val="22"/>
          <w:lang w:val="es-MX"/>
        </w:rPr>
        <w:t>antes de que comience su impartición, surgiese la necesidad de modificar un curso, esta circunstancia deberá ser comunicada a la Gerencia y aprobada por la misma. Una vez comenzado el curso no se podrán efectuar cambios sobre el mismo</w:t>
      </w:r>
      <w:r w:rsidR="00BF291C" w:rsidRPr="00E741FB">
        <w:rPr>
          <w:rFonts w:ascii="Calibri" w:hAnsi="Calibri" w:cs="Calibri"/>
          <w:sz w:val="22"/>
          <w:szCs w:val="22"/>
          <w:lang w:val="es-MX"/>
        </w:rPr>
        <w:t>.</w:t>
      </w:r>
    </w:p>
    <w:p w14:paraId="4E6367C3" w14:textId="77777777" w:rsidR="00A11078" w:rsidRPr="00E741FB" w:rsidRDefault="00A11078" w:rsidP="00E741FB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14:paraId="630629D0" w14:textId="0AF1294F" w:rsidR="00647503" w:rsidRDefault="00DE2165" w:rsidP="00647503">
      <w:pPr>
        <w:jc w:val="center"/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</w:pPr>
      <w:r w:rsidRPr="00647503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Badajoz, a </w:t>
      </w:r>
      <w:r w:rsidR="007E1A65" w:rsidRPr="00647503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XX</w:t>
      </w:r>
      <w:r w:rsidR="00AB3D6C" w:rsidRPr="00647503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de </w:t>
      </w:r>
      <w:r w:rsidR="00D672ED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febrero</w:t>
      </w:r>
      <w:r w:rsidRPr="00647503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 xml:space="preserve"> de </w:t>
      </w:r>
      <w:r w:rsidR="0068745C" w:rsidRPr="00647503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202</w:t>
      </w:r>
      <w:r w:rsidR="00D672ED"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  <w:t>2</w:t>
      </w:r>
    </w:p>
    <w:p w14:paraId="172EC7BB" w14:textId="77777777" w:rsidR="009410D0" w:rsidRDefault="009410D0" w:rsidP="00647503">
      <w:pPr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68350918" w14:textId="3A3826A1" w:rsidR="00DE2165" w:rsidRPr="00647503" w:rsidRDefault="00DE2165" w:rsidP="00647503">
      <w:pPr>
        <w:jc w:val="center"/>
        <w:rPr>
          <w:rFonts w:ascii="Calibri" w:hAnsi="Calibri" w:cs="Calibri"/>
          <w:color w:val="2E74B5" w:themeColor="accent1" w:themeShade="BF"/>
          <w:sz w:val="22"/>
          <w:szCs w:val="22"/>
          <w:lang w:val="es-MX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>EL GERENTE</w:t>
      </w:r>
      <w:r w:rsidR="00157004">
        <w:rPr>
          <w:rFonts w:ascii="Calibri" w:hAnsi="Calibri" w:cs="Calibri"/>
          <w:sz w:val="22"/>
          <w:szCs w:val="22"/>
          <w:lang w:val="es-MX"/>
        </w:rPr>
        <w:t>,</w:t>
      </w:r>
    </w:p>
    <w:p w14:paraId="24775039" w14:textId="26E8FC84" w:rsidR="008F608D" w:rsidRPr="00E741FB" w:rsidRDefault="003126D8" w:rsidP="00E741FB">
      <w:pPr>
        <w:jc w:val="center"/>
        <w:rPr>
          <w:rFonts w:ascii="Calibri" w:hAnsi="Calibri" w:cs="Calibri"/>
          <w:sz w:val="22"/>
          <w:szCs w:val="22"/>
        </w:rPr>
      </w:pPr>
      <w:r w:rsidRPr="00E741FB">
        <w:rPr>
          <w:rFonts w:ascii="Calibri" w:hAnsi="Calibri" w:cs="Calibri"/>
          <w:sz w:val="22"/>
          <w:szCs w:val="22"/>
          <w:lang w:val="es-MX"/>
        </w:rPr>
        <w:t>Juan Francisco Panduro López</w:t>
      </w:r>
    </w:p>
    <w:sectPr w:rsidR="008F608D" w:rsidRPr="00E741FB" w:rsidSect="00B7255C">
      <w:headerReference w:type="default" r:id="rId8"/>
      <w:footerReference w:type="default" r:id="rId9"/>
      <w:pgSz w:w="11905" w:h="16837"/>
      <w:pgMar w:top="3223" w:right="1134" w:bottom="1701" w:left="1985" w:header="709" w:footer="107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7473" w14:textId="77777777" w:rsidR="00FC3CF2" w:rsidRDefault="00FC3CF2">
      <w:r>
        <w:separator/>
      </w:r>
    </w:p>
  </w:endnote>
  <w:endnote w:type="continuationSeparator" w:id="0">
    <w:p w14:paraId="463314DD" w14:textId="77777777" w:rsidR="00FC3CF2" w:rsidRDefault="00FC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1962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3F18617" w14:textId="1030A065" w:rsidR="00C67116" w:rsidRPr="00C67116" w:rsidRDefault="00E02E73" w:rsidP="00AF4297">
            <w:pPr>
              <w:pStyle w:val="Piedepgina"/>
              <w:jc w:val="center"/>
            </w:pPr>
            <w:r>
              <w:t>P</w:t>
            </w:r>
            <w:proofErr w:type="spellStart"/>
            <w:r w:rsidR="00C67116" w:rsidRPr="00C67116">
              <w:rPr>
                <w:lang w:val="es-ES"/>
              </w:rPr>
              <w:t>ágina</w:t>
            </w:r>
            <w:proofErr w:type="spellEnd"/>
            <w:r w:rsidR="00C67116" w:rsidRPr="00C67116">
              <w:rPr>
                <w:lang w:val="es-ES"/>
              </w:rPr>
              <w:t xml:space="preserve"> </w:t>
            </w:r>
            <w:r w:rsidR="00C67116" w:rsidRPr="00C67116">
              <w:rPr>
                <w:bCs/>
                <w:sz w:val="24"/>
                <w:szCs w:val="24"/>
              </w:rPr>
              <w:fldChar w:fldCharType="begin"/>
            </w:r>
            <w:r w:rsidR="00C67116" w:rsidRPr="00C67116">
              <w:rPr>
                <w:bCs/>
              </w:rPr>
              <w:instrText>PAGE</w:instrText>
            </w:r>
            <w:r w:rsidR="00C67116" w:rsidRPr="00C67116">
              <w:rPr>
                <w:bCs/>
                <w:sz w:val="24"/>
                <w:szCs w:val="24"/>
              </w:rPr>
              <w:fldChar w:fldCharType="separate"/>
            </w:r>
            <w:r w:rsidR="00736CAF">
              <w:rPr>
                <w:bCs/>
                <w:noProof/>
              </w:rPr>
              <w:t>4</w:t>
            </w:r>
            <w:r w:rsidR="00C67116" w:rsidRPr="00C67116">
              <w:rPr>
                <w:bCs/>
                <w:sz w:val="24"/>
                <w:szCs w:val="24"/>
              </w:rPr>
              <w:fldChar w:fldCharType="end"/>
            </w:r>
            <w:r w:rsidR="00C67116" w:rsidRPr="00C67116">
              <w:rPr>
                <w:lang w:val="es-ES"/>
              </w:rPr>
              <w:t xml:space="preserve"> de </w:t>
            </w:r>
            <w:r w:rsidR="00C67116" w:rsidRPr="00C67116">
              <w:rPr>
                <w:bCs/>
                <w:sz w:val="24"/>
                <w:szCs w:val="24"/>
              </w:rPr>
              <w:fldChar w:fldCharType="begin"/>
            </w:r>
            <w:r w:rsidR="00C67116" w:rsidRPr="00C67116">
              <w:rPr>
                <w:bCs/>
              </w:rPr>
              <w:instrText>NUMPAGES</w:instrText>
            </w:r>
            <w:r w:rsidR="00C67116" w:rsidRPr="00C67116">
              <w:rPr>
                <w:bCs/>
                <w:sz w:val="24"/>
                <w:szCs w:val="24"/>
              </w:rPr>
              <w:fldChar w:fldCharType="separate"/>
            </w:r>
            <w:r w:rsidR="00736CAF">
              <w:rPr>
                <w:bCs/>
                <w:noProof/>
              </w:rPr>
              <w:t>5</w:t>
            </w:r>
            <w:r w:rsidR="00C67116" w:rsidRPr="00C6711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B20522" w14:textId="77777777" w:rsidR="004D1C60" w:rsidRDefault="004D1C60" w:rsidP="00053E8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EDA3" w14:textId="77777777" w:rsidR="00FC3CF2" w:rsidRDefault="00FC3CF2">
      <w:r>
        <w:separator/>
      </w:r>
    </w:p>
  </w:footnote>
  <w:footnote w:type="continuationSeparator" w:id="0">
    <w:p w14:paraId="2C00C6AD" w14:textId="77777777" w:rsidR="00FC3CF2" w:rsidRDefault="00FC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8EB5" w14:textId="16FB07D2" w:rsidR="004D1C60" w:rsidRPr="00F00C73" w:rsidRDefault="00F00C73" w:rsidP="00F00C73">
    <w:pPr>
      <w:pStyle w:val="Ttulo6"/>
      <w:ind w:left="1440"/>
      <w:jc w:val="right"/>
      <w:rPr>
        <w:sz w:val="20"/>
        <w:szCs w:val="20"/>
      </w:rPr>
    </w:pPr>
    <w:r w:rsidRPr="00F00C73">
      <w:rPr>
        <w:sz w:val="20"/>
        <w:szCs w:val="20"/>
      </w:rPr>
      <w:t>Resolución núm. /</w:t>
    </w:r>
    <w:r w:rsidR="0068745C">
      <w:rPr>
        <w:sz w:val="20"/>
        <w:szCs w:val="20"/>
      </w:rPr>
      <w:t>202</w:t>
    </w:r>
    <w:r w:rsidR="0090200D">
      <w:rPr>
        <w:sz w:val="20"/>
        <w:szCs w:val="20"/>
      </w:rPr>
      <w:t>2</w:t>
    </w:r>
  </w:p>
  <w:p w14:paraId="584B6A6D" w14:textId="77777777" w:rsidR="004D1C60" w:rsidRDefault="0068745C">
    <w:pPr>
      <w:pStyle w:val="Ttulo6"/>
      <w:ind w:left="144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4D9EC2F" wp14:editId="5746838A">
          <wp:simplePos x="0" y="0"/>
          <wp:positionH relativeFrom="column">
            <wp:posOffset>-266065</wp:posOffset>
          </wp:positionH>
          <wp:positionV relativeFrom="paragraph">
            <wp:posOffset>75565</wp:posOffset>
          </wp:positionV>
          <wp:extent cx="713105" cy="990600"/>
          <wp:effectExtent l="0" t="0" r="0" b="0"/>
          <wp:wrapSquare wrapText="bothSides"/>
          <wp:docPr id="1" name="Imagen 1" descr="Marca_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2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ECC09" w14:textId="77777777" w:rsidR="004D1C60" w:rsidRDefault="004D1C60">
    <w:pPr>
      <w:pStyle w:val="Ttulo6"/>
      <w:ind w:left="1440"/>
      <w:rPr>
        <w:sz w:val="18"/>
        <w:szCs w:val="18"/>
      </w:rPr>
    </w:pPr>
    <w:r>
      <w:rPr>
        <w:sz w:val="18"/>
        <w:szCs w:val="18"/>
      </w:rPr>
      <w:t>RECTORADO</w:t>
    </w:r>
  </w:p>
  <w:p w14:paraId="64265972" w14:textId="77777777" w:rsidR="004D1C60" w:rsidRDefault="004D1C60" w:rsidP="00126DDA">
    <w:pPr>
      <w:rPr>
        <w:lang w:val="es-ES"/>
      </w:rPr>
    </w:pPr>
    <w:r>
      <w:rPr>
        <w:lang w:val="es-ES"/>
      </w:rPr>
      <w:tab/>
    </w:r>
    <w:r>
      <w:rPr>
        <w:lang w:val="es-ES"/>
      </w:rPr>
      <w:tab/>
    </w:r>
  </w:p>
  <w:p w14:paraId="2E426500" w14:textId="77777777" w:rsidR="004D1C60" w:rsidRDefault="004D1C60" w:rsidP="00126DDA">
    <w:pPr>
      <w:rPr>
        <w:rFonts w:ascii="Verdana" w:hAnsi="Verdana" w:cs="Verdana"/>
        <w:sz w:val="16"/>
        <w:szCs w:val="16"/>
        <w:lang w:val="es-ES"/>
      </w:rPr>
    </w:pPr>
    <w:r>
      <w:rPr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>Campus Universitario</w:t>
    </w:r>
  </w:p>
  <w:p w14:paraId="44296AC5" w14:textId="77777777" w:rsidR="004D1C60" w:rsidRDefault="00EB1AC8" w:rsidP="00126DDA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 w:rsidR="004D1C60">
      <w:rPr>
        <w:rFonts w:ascii="Verdana" w:hAnsi="Verdana" w:cs="Verdana"/>
        <w:sz w:val="16"/>
        <w:szCs w:val="16"/>
        <w:lang w:val="es-ES"/>
      </w:rPr>
      <w:t xml:space="preserve">Avda. de </w:t>
    </w:r>
    <w:proofErr w:type="spellStart"/>
    <w:r w:rsidR="004D1C60">
      <w:rPr>
        <w:rFonts w:ascii="Verdana" w:hAnsi="Verdana" w:cs="Verdana"/>
        <w:sz w:val="16"/>
        <w:szCs w:val="16"/>
        <w:lang w:val="es-ES"/>
      </w:rPr>
      <w:t>Elvas</w:t>
    </w:r>
    <w:proofErr w:type="spellEnd"/>
    <w:r w:rsidR="004D1C60">
      <w:rPr>
        <w:rFonts w:ascii="Verdana" w:hAnsi="Verdana" w:cs="Verdana"/>
        <w:sz w:val="16"/>
        <w:szCs w:val="16"/>
        <w:lang w:val="es-ES"/>
      </w:rPr>
      <w:t>, s/n</w:t>
    </w:r>
  </w:p>
  <w:p w14:paraId="03F1E322" w14:textId="77777777" w:rsidR="004D1C60" w:rsidRDefault="00EB1AC8" w:rsidP="00126DDA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 w:rsidR="004D1C60">
      <w:rPr>
        <w:rFonts w:ascii="Verdana" w:hAnsi="Verdana" w:cs="Verdana"/>
        <w:sz w:val="16"/>
        <w:szCs w:val="16"/>
        <w:lang w:val="es-ES"/>
      </w:rPr>
      <w:t>Teléfono: 924/289300</w:t>
    </w:r>
  </w:p>
  <w:p w14:paraId="71A3417A" w14:textId="77777777" w:rsidR="004D1C60" w:rsidRPr="00126DDA" w:rsidRDefault="00EB1AC8" w:rsidP="00126DDA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 w:rsidR="004D1C60">
      <w:rPr>
        <w:rFonts w:ascii="Verdana" w:hAnsi="Verdana" w:cs="Verdana"/>
        <w:sz w:val="16"/>
        <w:szCs w:val="16"/>
        <w:lang w:val="es-ES"/>
      </w:rPr>
      <w:t>060</w:t>
    </w:r>
    <w:r w:rsidR="008F608D">
      <w:rPr>
        <w:rFonts w:ascii="Verdana" w:hAnsi="Verdana" w:cs="Verdana"/>
        <w:sz w:val="16"/>
        <w:szCs w:val="16"/>
        <w:lang w:val="es-ES"/>
      </w:rPr>
      <w:t>06</w:t>
    </w:r>
    <w:r w:rsidR="004D1C60">
      <w:rPr>
        <w:rFonts w:ascii="Verdana" w:hAnsi="Verdana" w:cs="Verdana"/>
        <w:sz w:val="16"/>
        <w:szCs w:val="16"/>
        <w:lang w:val="es-ES"/>
      </w:rPr>
      <w:t xml:space="preserve"> BADAJOZ</w:t>
    </w:r>
  </w:p>
  <w:p w14:paraId="1F13D305" w14:textId="77777777" w:rsidR="004D1C60" w:rsidRDefault="004D1C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CC3"/>
    <w:multiLevelType w:val="hybridMultilevel"/>
    <w:tmpl w:val="3C86581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A0237"/>
    <w:multiLevelType w:val="hybridMultilevel"/>
    <w:tmpl w:val="3558DC46"/>
    <w:lvl w:ilvl="0" w:tplc="921490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A7257"/>
    <w:multiLevelType w:val="hybridMultilevel"/>
    <w:tmpl w:val="2F6A4E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DE"/>
    <w:rsid w:val="00022D26"/>
    <w:rsid w:val="0004052A"/>
    <w:rsid w:val="00053E8E"/>
    <w:rsid w:val="0005541E"/>
    <w:rsid w:val="00075608"/>
    <w:rsid w:val="00090716"/>
    <w:rsid w:val="00094EB9"/>
    <w:rsid w:val="000A3BB2"/>
    <w:rsid w:val="000A5451"/>
    <w:rsid w:val="000E17B0"/>
    <w:rsid w:val="000E2BE2"/>
    <w:rsid w:val="000F35AC"/>
    <w:rsid w:val="00104D3B"/>
    <w:rsid w:val="00113DC8"/>
    <w:rsid w:val="00126DDA"/>
    <w:rsid w:val="0014225D"/>
    <w:rsid w:val="0014328D"/>
    <w:rsid w:val="00157004"/>
    <w:rsid w:val="00183030"/>
    <w:rsid w:val="00194B3B"/>
    <w:rsid w:val="001950BA"/>
    <w:rsid w:val="0019577C"/>
    <w:rsid w:val="00196018"/>
    <w:rsid w:val="001A09BF"/>
    <w:rsid w:val="001B1153"/>
    <w:rsid w:val="001B241A"/>
    <w:rsid w:val="001D5426"/>
    <w:rsid w:val="002031D8"/>
    <w:rsid w:val="00210C73"/>
    <w:rsid w:val="00216EBA"/>
    <w:rsid w:val="00220D3A"/>
    <w:rsid w:val="0022605F"/>
    <w:rsid w:val="00227BFB"/>
    <w:rsid w:val="0028229B"/>
    <w:rsid w:val="00287D7A"/>
    <w:rsid w:val="002A3194"/>
    <w:rsid w:val="002C3B92"/>
    <w:rsid w:val="002C4ADA"/>
    <w:rsid w:val="002E66AC"/>
    <w:rsid w:val="002F5E56"/>
    <w:rsid w:val="002F6D6D"/>
    <w:rsid w:val="003126D8"/>
    <w:rsid w:val="00316CE3"/>
    <w:rsid w:val="00323F29"/>
    <w:rsid w:val="00326523"/>
    <w:rsid w:val="003A5FF2"/>
    <w:rsid w:val="003B0DBD"/>
    <w:rsid w:val="003C0A24"/>
    <w:rsid w:val="003C3E02"/>
    <w:rsid w:val="003C4E71"/>
    <w:rsid w:val="003C54D0"/>
    <w:rsid w:val="004438F0"/>
    <w:rsid w:val="00446CE7"/>
    <w:rsid w:val="00464326"/>
    <w:rsid w:val="0048639E"/>
    <w:rsid w:val="00494B44"/>
    <w:rsid w:val="00494EAE"/>
    <w:rsid w:val="004B3350"/>
    <w:rsid w:val="004B4E7F"/>
    <w:rsid w:val="004B653C"/>
    <w:rsid w:val="004D0669"/>
    <w:rsid w:val="004D1C60"/>
    <w:rsid w:val="004D73EC"/>
    <w:rsid w:val="004F0CE4"/>
    <w:rsid w:val="005056B1"/>
    <w:rsid w:val="005173B3"/>
    <w:rsid w:val="00521187"/>
    <w:rsid w:val="0052647E"/>
    <w:rsid w:val="00526D49"/>
    <w:rsid w:val="0053092E"/>
    <w:rsid w:val="00536D6B"/>
    <w:rsid w:val="00536EBE"/>
    <w:rsid w:val="005455B0"/>
    <w:rsid w:val="00550377"/>
    <w:rsid w:val="0055506D"/>
    <w:rsid w:val="005655FF"/>
    <w:rsid w:val="00570D92"/>
    <w:rsid w:val="00571E92"/>
    <w:rsid w:val="00577C81"/>
    <w:rsid w:val="005E7C22"/>
    <w:rsid w:val="006063A6"/>
    <w:rsid w:val="006113D7"/>
    <w:rsid w:val="00612E3C"/>
    <w:rsid w:val="006240DC"/>
    <w:rsid w:val="006331EE"/>
    <w:rsid w:val="0064422F"/>
    <w:rsid w:val="00647503"/>
    <w:rsid w:val="00657614"/>
    <w:rsid w:val="00672536"/>
    <w:rsid w:val="00685A1C"/>
    <w:rsid w:val="0068745C"/>
    <w:rsid w:val="006F11BA"/>
    <w:rsid w:val="006F67AD"/>
    <w:rsid w:val="00706FB9"/>
    <w:rsid w:val="0071029A"/>
    <w:rsid w:val="007162EB"/>
    <w:rsid w:val="00735DAA"/>
    <w:rsid w:val="00736CAF"/>
    <w:rsid w:val="00750381"/>
    <w:rsid w:val="00757826"/>
    <w:rsid w:val="007654D1"/>
    <w:rsid w:val="0076684F"/>
    <w:rsid w:val="00773E60"/>
    <w:rsid w:val="0078713A"/>
    <w:rsid w:val="007B2F49"/>
    <w:rsid w:val="007C29D9"/>
    <w:rsid w:val="007C3D48"/>
    <w:rsid w:val="007C7636"/>
    <w:rsid w:val="007E1A65"/>
    <w:rsid w:val="007F4307"/>
    <w:rsid w:val="007F7D33"/>
    <w:rsid w:val="008044EB"/>
    <w:rsid w:val="00807CC2"/>
    <w:rsid w:val="00830530"/>
    <w:rsid w:val="008500E7"/>
    <w:rsid w:val="00850EF1"/>
    <w:rsid w:val="0085158C"/>
    <w:rsid w:val="00854DD4"/>
    <w:rsid w:val="00855B38"/>
    <w:rsid w:val="008801F1"/>
    <w:rsid w:val="00884F8E"/>
    <w:rsid w:val="00885F4E"/>
    <w:rsid w:val="008A5564"/>
    <w:rsid w:val="008B5251"/>
    <w:rsid w:val="008B7CA3"/>
    <w:rsid w:val="008C4A34"/>
    <w:rsid w:val="008C7809"/>
    <w:rsid w:val="008D1FFB"/>
    <w:rsid w:val="008E1502"/>
    <w:rsid w:val="008F608D"/>
    <w:rsid w:val="0090200D"/>
    <w:rsid w:val="00910F13"/>
    <w:rsid w:val="009141FE"/>
    <w:rsid w:val="0091562C"/>
    <w:rsid w:val="00924708"/>
    <w:rsid w:val="00935D86"/>
    <w:rsid w:val="00940FF0"/>
    <w:rsid w:val="009410D0"/>
    <w:rsid w:val="00947418"/>
    <w:rsid w:val="00952555"/>
    <w:rsid w:val="00991C2A"/>
    <w:rsid w:val="0099281F"/>
    <w:rsid w:val="0099509B"/>
    <w:rsid w:val="009C105A"/>
    <w:rsid w:val="009D124F"/>
    <w:rsid w:val="009E24A8"/>
    <w:rsid w:val="009E3551"/>
    <w:rsid w:val="00A11078"/>
    <w:rsid w:val="00A11F76"/>
    <w:rsid w:val="00A26DFB"/>
    <w:rsid w:val="00A406AF"/>
    <w:rsid w:val="00A47AE6"/>
    <w:rsid w:val="00A55ED0"/>
    <w:rsid w:val="00A67CC9"/>
    <w:rsid w:val="00A92D65"/>
    <w:rsid w:val="00AB0FF5"/>
    <w:rsid w:val="00AB2782"/>
    <w:rsid w:val="00AB3D6C"/>
    <w:rsid w:val="00AB49DE"/>
    <w:rsid w:val="00AC44F8"/>
    <w:rsid w:val="00AC74F5"/>
    <w:rsid w:val="00AD3005"/>
    <w:rsid w:val="00AD4696"/>
    <w:rsid w:val="00AD4B9F"/>
    <w:rsid w:val="00AE0E00"/>
    <w:rsid w:val="00AE302F"/>
    <w:rsid w:val="00AE5D31"/>
    <w:rsid w:val="00AF2BC1"/>
    <w:rsid w:val="00AF4297"/>
    <w:rsid w:val="00B04936"/>
    <w:rsid w:val="00B1260A"/>
    <w:rsid w:val="00B53E57"/>
    <w:rsid w:val="00B56BAE"/>
    <w:rsid w:val="00B71387"/>
    <w:rsid w:val="00B7255C"/>
    <w:rsid w:val="00B87936"/>
    <w:rsid w:val="00BB74F1"/>
    <w:rsid w:val="00BD06B9"/>
    <w:rsid w:val="00BF291C"/>
    <w:rsid w:val="00C01626"/>
    <w:rsid w:val="00C153C6"/>
    <w:rsid w:val="00C36918"/>
    <w:rsid w:val="00C42AC5"/>
    <w:rsid w:val="00C561DD"/>
    <w:rsid w:val="00C67116"/>
    <w:rsid w:val="00C70523"/>
    <w:rsid w:val="00C7107B"/>
    <w:rsid w:val="00C94A26"/>
    <w:rsid w:val="00CB4F84"/>
    <w:rsid w:val="00CF173E"/>
    <w:rsid w:val="00CF39BE"/>
    <w:rsid w:val="00D216D4"/>
    <w:rsid w:val="00D263DA"/>
    <w:rsid w:val="00D27747"/>
    <w:rsid w:val="00D50E49"/>
    <w:rsid w:val="00D576A7"/>
    <w:rsid w:val="00D64644"/>
    <w:rsid w:val="00D672ED"/>
    <w:rsid w:val="00D71D97"/>
    <w:rsid w:val="00D77C4E"/>
    <w:rsid w:val="00D800FD"/>
    <w:rsid w:val="00D83280"/>
    <w:rsid w:val="00D86774"/>
    <w:rsid w:val="00D909E4"/>
    <w:rsid w:val="00D91BDA"/>
    <w:rsid w:val="00D91C94"/>
    <w:rsid w:val="00D9204B"/>
    <w:rsid w:val="00D95B04"/>
    <w:rsid w:val="00D96727"/>
    <w:rsid w:val="00DC2950"/>
    <w:rsid w:val="00DD677E"/>
    <w:rsid w:val="00DE2165"/>
    <w:rsid w:val="00DF127E"/>
    <w:rsid w:val="00DF4CC3"/>
    <w:rsid w:val="00DF7A3A"/>
    <w:rsid w:val="00E02E73"/>
    <w:rsid w:val="00E20E80"/>
    <w:rsid w:val="00E2740E"/>
    <w:rsid w:val="00E741FB"/>
    <w:rsid w:val="00E7718B"/>
    <w:rsid w:val="00E879C9"/>
    <w:rsid w:val="00E87CD3"/>
    <w:rsid w:val="00E96260"/>
    <w:rsid w:val="00EB1AC8"/>
    <w:rsid w:val="00EB32F2"/>
    <w:rsid w:val="00EC64DB"/>
    <w:rsid w:val="00EE119A"/>
    <w:rsid w:val="00EE41C5"/>
    <w:rsid w:val="00EF5ABC"/>
    <w:rsid w:val="00EF5FFE"/>
    <w:rsid w:val="00F00C73"/>
    <w:rsid w:val="00F1489A"/>
    <w:rsid w:val="00F263C3"/>
    <w:rsid w:val="00F32751"/>
    <w:rsid w:val="00F430AD"/>
    <w:rsid w:val="00F45C2A"/>
    <w:rsid w:val="00F525E4"/>
    <w:rsid w:val="00F52CDD"/>
    <w:rsid w:val="00F61D07"/>
    <w:rsid w:val="00F6265E"/>
    <w:rsid w:val="00F6654F"/>
    <w:rsid w:val="00F7434E"/>
    <w:rsid w:val="00FA5429"/>
    <w:rsid w:val="00FC3CF2"/>
    <w:rsid w:val="00FD101E"/>
    <w:rsid w:val="00FD2FF2"/>
    <w:rsid w:val="00FF3140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D98176"/>
  <w15:docId w15:val="{49B9E7E1-B231-40CD-BA79-ADB01BF2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1905"/>
      </w:tabs>
      <w:jc w:val="center"/>
      <w:outlineLvl w:val="0"/>
    </w:pPr>
    <w:rPr>
      <w:rFonts w:ascii="Verdana" w:hAnsi="Verdana" w:cs="Verdana"/>
      <w:b/>
      <w:bCs/>
      <w:lang w:val="es-MX"/>
    </w:rPr>
  </w:style>
  <w:style w:type="paragraph" w:styleId="Ttulo6">
    <w:name w:val="heading 6"/>
    <w:basedOn w:val="Normal"/>
    <w:next w:val="Normal"/>
    <w:qFormat/>
    <w:pPr>
      <w:keepNext/>
      <w:widowControl/>
      <w:jc w:val="both"/>
      <w:outlineLvl w:val="5"/>
    </w:pPr>
    <w:rPr>
      <w:rFonts w:ascii="Verdana" w:hAnsi="Verdana" w:cs="Verdana"/>
      <w:b/>
      <w:bCs/>
      <w:sz w:val="14"/>
      <w:szCs w:val="1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tabs>
        <w:tab w:val="left" w:pos="1905"/>
      </w:tabs>
      <w:jc w:val="both"/>
    </w:pPr>
    <w:rPr>
      <w:rFonts w:ascii="Verdana" w:hAnsi="Verdana" w:cs="Verdana"/>
      <w:b/>
      <w:bCs/>
      <w:lang w:val="es-MX"/>
    </w:rPr>
  </w:style>
  <w:style w:type="paragraph" w:styleId="Sangradetextonormal">
    <w:name w:val="Body Text Indent"/>
    <w:basedOn w:val="Normal"/>
    <w:link w:val="SangradetextonormalCar"/>
    <w:pPr>
      <w:tabs>
        <w:tab w:val="left" w:pos="1905"/>
      </w:tabs>
      <w:jc w:val="both"/>
    </w:pPr>
    <w:rPr>
      <w:rFonts w:ascii="Verdana" w:hAnsi="Verdana" w:cs="Verdana"/>
      <w:lang w:val="es-MX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53E8E"/>
  </w:style>
  <w:style w:type="character" w:customStyle="1" w:styleId="SangradetextonormalCar">
    <w:name w:val="Sangría de texto normal Car"/>
    <w:link w:val="Sangradetextonormal"/>
    <w:rsid w:val="008F608D"/>
    <w:rPr>
      <w:rFonts w:ascii="Verdana" w:hAnsi="Verdana" w:cs="Verdana"/>
      <w:lang w:val="es-MX"/>
    </w:rPr>
  </w:style>
  <w:style w:type="paragraph" w:styleId="NormalWeb">
    <w:name w:val="Normal (Web)"/>
    <w:basedOn w:val="Normal"/>
    <w:rsid w:val="008F608D"/>
    <w:pPr>
      <w:widowControl/>
      <w:autoSpaceDE/>
      <w:autoSpaceDN/>
      <w:spacing w:before="100" w:beforeAutospacing="1" w:after="100" w:afterAutospacing="1"/>
    </w:pPr>
    <w:rPr>
      <w:rFonts w:ascii="Verdana" w:hAnsi="Verdan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35DAA"/>
    <w:pPr>
      <w:ind w:left="708"/>
    </w:pPr>
  </w:style>
  <w:style w:type="character" w:styleId="Hipervnculo">
    <w:name w:val="Hyperlink"/>
    <w:unhideWhenUsed/>
    <w:rsid w:val="00DE2165"/>
    <w:rPr>
      <w:color w:val="0000FF"/>
      <w:u w:val="single"/>
    </w:rPr>
  </w:style>
  <w:style w:type="character" w:styleId="Refdecomentario">
    <w:name w:val="annotation reference"/>
    <w:rsid w:val="008A556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5564"/>
  </w:style>
  <w:style w:type="character" w:customStyle="1" w:styleId="TextocomentarioCar">
    <w:name w:val="Texto comentario Car"/>
    <w:link w:val="Textocomentario"/>
    <w:rsid w:val="008A5564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A5564"/>
    <w:rPr>
      <w:b/>
      <w:bCs/>
    </w:rPr>
  </w:style>
  <w:style w:type="character" w:customStyle="1" w:styleId="AsuntodelcomentarioCar">
    <w:name w:val="Asunto del comentario Car"/>
    <w:link w:val="Asuntodelcomentario"/>
    <w:rsid w:val="008A5564"/>
    <w:rPr>
      <w:b/>
      <w:bCs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711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pas@unex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ROPUESTA%20DE%20RESOLUCI&#211;N%20DE%20LA%20GERENCIA%20CURSOS%20FORPAS_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PROPUESTA DE RESOLUCIÓN DE LA GERENCIA CURSOS FORPAS_2020.dotx</Template>
  <TotalTime>163</TotalTime>
  <Pages>4</Pages>
  <Words>1666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10 de enero de 2005, del Rectorado de la Universidad de Extremadura, por la que se procede a la reasignación de</vt:lpstr>
    </vt:vector>
  </TitlesOfParts>
  <Company>U.Ex.</Company>
  <LinksUpToDate>false</LinksUpToDate>
  <CharactersWithSpaces>10384</CharactersWithSpaces>
  <SharedDoc>false</SharedDoc>
  <HLinks>
    <vt:vector size="18" baseType="variant">
      <vt:variant>
        <vt:i4>6815765</vt:i4>
      </vt:variant>
      <vt:variant>
        <vt:i4>6</vt:i4>
      </vt:variant>
      <vt:variant>
        <vt:i4>0</vt:i4>
      </vt:variant>
      <vt:variant>
        <vt:i4>5</vt:i4>
      </vt:variant>
      <vt:variant>
        <vt:lpwstr>mailto:forpas2@unex.es</vt:lpwstr>
      </vt:variant>
      <vt:variant>
        <vt:lpwstr/>
      </vt:variant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mailto:forpas@unex.es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mailto:forpas@unex.es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10 de enero de 2005, del Rectorado de la Universidad de Extremadura, por la que se procede a la reasignación de</dc:title>
  <dc:creator>Usuario</dc:creator>
  <cp:lastModifiedBy>JUAN MANUEL  ÁLVAREZ MÁRQUEZ</cp:lastModifiedBy>
  <cp:revision>95</cp:revision>
  <cp:lastPrinted>2019-04-24T15:15:00Z</cp:lastPrinted>
  <dcterms:created xsi:type="dcterms:W3CDTF">2021-12-03T08:02:00Z</dcterms:created>
  <dcterms:modified xsi:type="dcterms:W3CDTF">2021-12-15T09:00:00Z</dcterms:modified>
</cp:coreProperties>
</file>